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Override PartName="/word/footer1.xml" ContentType="application/vnd.openxmlformats-officedocument.wordprocessingml.footer+xml"/>
  <Override PartName="/docProps/custom.xml" ContentType="application/vnd.openxmlformats-officedocument.custom-properties+xml"/>
  <Override PartName="/word/numbering.xml" ContentType="application/vnd.openxmlformats-officedocument.wordprocessingml.numbering+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body>
    <w:p>
      <w:pPr>
        <w:pStyle w:val="BodyText"/>
        <w:ind w:firstLine="0"/>
        <w:rPr>
          <w:sz w:val="20"/>
        </w:rPr>
      </w:pPr>
    </w:p>
    <w:p>
      <w:pPr>
        <w:spacing w:before="91"/>
        <w:ind w:left="160" w:right="0" w:firstLine="0"/>
        <w:jc w:val="left"/>
        <w:rPr>
          <w:i/>
          <w:sz w:val="22"/>
        </w:rPr>
      </w:pPr>
      <w:r>
        <w:rPr>
          <w:sz w:val="22"/>
        </w:rPr>
        <w:t>SECTION 079200 - JOINT SEALANTS </w:t>
      </w:r>
      <w:r>
        <w:rPr>
          <w:i/>
          <w:sz w:val="22"/>
          <w:u w:val="single"/>
        </w:rPr>
        <w:t>(Very Low VOC as Indicated: Section 2.3.E)</w:t>
      </w:r>
    </w:p>
    <w:p>
      <w:pPr>
        <w:pStyle w:val="BodyText"/>
        <w:ind w:firstLine="0"/>
        <w:rPr>
          <w:i/>
          <w:sz w:val="20"/>
        </w:rPr>
      </w:pPr>
    </w:p>
    <w:p>
      <w:pPr>
        <w:pStyle w:val="BodyText"/>
        <w:spacing w:before="8"/>
        <w:ind w:firstLine="0"/>
        <w:rPr>
          <w:i/>
          <w:sz w:val="21"/>
        </w:rPr>
      </w:pPr>
    </w:p>
    <w:p>
      <w:pPr>
        <w:pStyle w:val="BodyText"/>
        <w:ind w:left="160" w:firstLine="0"/>
      </w:pPr>
      <w:r>
        <w:rPr/>
        <w:t>PART 1 - GENERAL</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5" w:after="0"/>
        <w:ind w:left="1024" w:right="0" w:hanging="864"/>
        <w:jc w:val="left"/>
        <w:rPr>
          <w:sz w:val="22"/>
        </w:rPr>
      </w:pPr>
      <w:r>
        <w:rPr>
          <w:sz w:val="22"/>
        </w:rPr>
        <w:t>RELATED</w:t>
      </w:r>
      <w:r>
        <w:rPr>
          <w:spacing w:val="-3"/>
          <w:sz w:val="22"/>
        </w:rPr>
        <w:t> </w:t>
      </w:r>
      <w:r>
        <w:rPr>
          <w:sz w:val="22"/>
        </w:rPr>
        <w:t>DOCUMENTS</w:t>
      </w:r>
    </w:p>
    <w:p>
      <w:pPr>
        <w:pStyle w:val="BodyText"/>
        <w:spacing w:before="9"/>
        <w:ind w:firstLine="0"/>
        <w:rPr>
          <w:sz w:val="20"/>
        </w:rPr>
      </w:pPr>
    </w:p>
    <w:p>
      <w:pPr>
        <w:pStyle w:val="ListParagraph"/>
        <w:numPr>
          <w:ilvl w:val="2"/>
          <w:numId w:val="1"/>
        </w:numPr>
        <w:tabs>
          <w:tab w:pos="1024" w:val="left" w:leader="none"/>
          <w:tab w:pos="1025" w:val="left" w:leader="none"/>
        </w:tabs>
        <w:spacing w:line="240" w:lineRule="auto" w:before="1" w:after="0"/>
        <w:ind w:left="1024" w:right="121" w:hanging="576"/>
        <w:jc w:val="left"/>
        <w:rPr>
          <w:sz w:val="22"/>
        </w:rPr>
      </w:pPr>
      <w:r>
        <w:rPr>
          <w:sz w:val="22"/>
        </w:rPr>
        <w:t>Drawings and general provisions of the Contract, including General and Supplementary Conditions and Division 01 Specification Sections, apply to this</w:t>
      </w:r>
      <w:r>
        <w:rPr>
          <w:spacing w:val="-12"/>
          <w:sz w:val="22"/>
        </w:rPr>
        <w:t> </w:t>
      </w:r>
      <w:r>
        <w:rPr>
          <w:sz w:val="22"/>
        </w:rPr>
        <w:t>Section.</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4" w:after="0"/>
        <w:ind w:left="1024" w:right="0" w:hanging="864"/>
        <w:jc w:val="left"/>
        <w:rPr>
          <w:sz w:val="22"/>
        </w:rPr>
      </w:pPr>
      <w:r>
        <w:rPr>
          <w:sz w:val="22"/>
        </w:rPr>
        <w:t>SUMMARY</w:t>
      </w:r>
    </w:p>
    <w:p>
      <w:pPr>
        <w:pStyle w:val="BodyText"/>
        <w:spacing w:before="9"/>
        <w:ind w:firstLine="0"/>
        <w:rPr>
          <w:sz w:val="20"/>
        </w:rPr>
      </w:pPr>
    </w:p>
    <w:p>
      <w:pPr>
        <w:pStyle w:val="ListParagraph"/>
        <w:numPr>
          <w:ilvl w:val="2"/>
          <w:numId w:val="1"/>
        </w:numPr>
        <w:tabs>
          <w:tab w:pos="1024" w:val="left" w:leader="none"/>
          <w:tab w:pos="1025" w:val="left" w:leader="none"/>
        </w:tabs>
        <w:spacing w:line="240" w:lineRule="auto" w:before="1" w:after="0"/>
        <w:ind w:left="1024" w:right="115" w:hanging="576"/>
        <w:jc w:val="left"/>
        <w:rPr>
          <w:sz w:val="22"/>
        </w:rPr>
      </w:pPr>
      <w:r>
        <w:rPr>
          <w:sz w:val="22"/>
        </w:rPr>
        <w:t>This Section includes joint sealants for the applications indicated in the Joint-Sealant Schedule at the end of Part</w:t>
      </w:r>
      <w:r>
        <w:rPr>
          <w:spacing w:val="2"/>
          <w:sz w:val="22"/>
        </w:rPr>
        <w:t> </w:t>
      </w:r>
      <w:r>
        <w:rPr>
          <w:sz w:val="22"/>
        </w:rPr>
        <w:t>3.</w:t>
      </w:r>
    </w:p>
    <w:p>
      <w:pPr>
        <w:pStyle w:val="BodyText"/>
        <w:spacing w:before="10"/>
        <w:ind w:firstLine="0"/>
        <w:rPr>
          <w:sz w:val="20"/>
        </w:rPr>
      </w:pPr>
    </w:p>
    <w:p>
      <w:pPr>
        <w:pStyle w:val="ListParagraph"/>
        <w:numPr>
          <w:ilvl w:val="3"/>
          <w:numId w:val="1"/>
        </w:numPr>
        <w:tabs>
          <w:tab w:pos="1600" w:val="left" w:leader="none"/>
          <w:tab w:pos="1601" w:val="left" w:leader="none"/>
        </w:tabs>
        <w:spacing w:line="240" w:lineRule="auto" w:before="0" w:after="0"/>
        <w:ind w:left="1600" w:right="0" w:hanging="576"/>
        <w:jc w:val="left"/>
        <w:rPr>
          <w:sz w:val="22"/>
        </w:rPr>
      </w:pPr>
      <w:r>
        <w:rPr>
          <w:sz w:val="22"/>
        </w:rPr>
        <w:t>Exterior joints in the following vertical surfaces and horizontal nontraffic</w:t>
      </w:r>
      <w:r>
        <w:rPr>
          <w:spacing w:val="-19"/>
          <w:sz w:val="22"/>
        </w:rPr>
        <w:t> </w:t>
      </w:r>
      <w:r>
        <w:rPr>
          <w:sz w:val="22"/>
        </w:rPr>
        <w:t>surfaces:</w:t>
      </w:r>
    </w:p>
    <w:p>
      <w:pPr>
        <w:pStyle w:val="BodyText"/>
        <w:ind w:firstLine="0"/>
        <w:rPr>
          <w:sz w:val="21"/>
        </w:rPr>
      </w:pP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Control and expansion joints in unit</w:t>
      </w:r>
      <w:r>
        <w:rPr>
          <w:spacing w:val="-3"/>
          <w:sz w:val="22"/>
        </w:rPr>
        <w:t> </w:t>
      </w:r>
      <w:r>
        <w:rPr>
          <w:sz w:val="22"/>
        </w:rPr>
        <w:t>masonry.</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Joints in dimension stone</w:t>
      </w:r>
      <w:r>
        <w:rPr>
          <w:spacing w:val="-3"/>
          <w:sz w:val="22"/>
        </w:rPr>
        <w:t> </w:t>
      </w:r>
      <w:r>
        <w:rPr>
          <w:sz w:val="22"/>
        </w:rPr>
        <w:t>cladding.</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Joints in glass unit masonry</w:t>
      </w:r>
      <w:r>
        <w:rPr>
          <w:spacing w:val="-5"/>
          <w:sz w:val="22"/>
        </w:rPr>
        <w:t> </w:t>
      </w:r>
      <w:r>
        <w:rPr>
          <w:sz w:val="22"/>
        </w:rPr>
        <w:t>assemblies.</w:t>
      </w:r>
    </w:p>
    <w:p>
      <w:pPr>
        <w:pStyle w:val="ListParagraph"/>
        <w:numPr>
          <w:ilvl w:val="4"/>
          <w:numId w:val="1"/>
        </w:numPr>
        <w:tabs>
          <w:tab w:pos="2176" w:val="left" w:leader="none"/>
          <w:tab w:pos="2177" w:val="left" w:leader="none"/>
        </w:tabs>
        <w:spacing w:line="252" w:lineRule="exact" w:before="1" w:after="0"/>
        <w:ind w:left="2176" w:right="0" w:hanging="576"/>
        <w:jc w:val="left"/>
        <w:rPr>
          <w:sz w:val="22"/>
        </w:rPr>
      </w:pPr>
      <w:r>
        <w:rPr>
          <w:sz w:val="22"/>
        </w:rPr>
        <w:t>Joints in exterior portland cement</w:t>
      </w:r>
      <w:r>
        <w:rPr>
          <w:spacing w:val="-4"/>
          <w:sz w:val="22"/>
        </w:rPr>
        <w:t> </w:t>
      </w:r>
      <w:r>
        <w:rPr>
          <w:sz w:val="22"/>
        </w:rPr>
        <w:t>stucco</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Joints between metal panels.</w:t>
      </w:r>
    </w:p>
    <w:p>
      <w:pPr>
        <w:pStyle w:val="ListParagraph"/>
        <w:numPr>
          <w:ilvl w:val="4"/>
          <w:numId w:val="1"/>
        </w:numPr>
        <w:tabs>
          <w:tab w:pos="2176" w:val="left" w:leader="none"/>
          <w:tab w:pos="2177" w:val="left" w:leader="none"/>
        </w:tabs>
        <w:spacing w:line="252" w:lineRule="exact" w:before="2" w:after="0"/>
        <w:ind w:left="2176" w:right="0" w:hanging="576"/>
        <w:jc w:val="left"/>
        <w:rPr>
          <w:sz w:val="22"/>
        </w:rPr>
      </w:pPr>
      <w:r>
        <w:rPr>
          <w:sz w:val="22"/>
        </w:rPr>
        <w:t>Joints between different materials listed</w:t>
      </w:r>
      <w:r>
        <w:rPr>
          <w:spacing w:val="-4"/>
          <w:sz w:val="22"/>
        </w:rPr>
        <w:t> </w:t>
      </w:r>
      <w:r>
        <w:rPr>
          <w:sz w:val="22"/>
        </w:rPr>
        <w:t>above.</w:t>
      </w:r>
    </w:p>
    <w:p>
      <w:pPr>
        <w:pStyle w:val="ListParagraph"/>
        <w:numPr>
          <w:ilvl w:val="4"/>
          <w:numId w:val="1"/>
        </w:numPr>
        <w:tabs>
          <w:tab w:pos="2176" w:val="left" w:leader="none"/>
          <w:tab w:pos="2177" w:val="left" w:leader="none"/>
        </w:tabs>
        <w:spacing w:line="240" w:lineRule="auto" w:before="0" w:after="0"/>
        <w:ind w:left="2176" w:right="122" w:hanging="576"/>
        <w:jc w:val="left"/>
        <w:rPr>
          <w:sz w:val="22"/>
        </w:rPr>
      </w:pPr>
      <w:r>
        <w:rPr>
          <w:sz w:val="22"/>
        </w:rPr>
        <w:t>Perimeter joints between materials listed above and frames of doors, windows and louvers.</w:t>
      </w:r>
    </w:p>
    <w:p>
      <w:pPr>
        <w:pStyle w:val="ListParagraph"/>
        <w:numPr>
          <w:ilvl w:val="4"/>
          <w:numId w:val="1"/>
        </w:numPr>
        <w:tabs>
          <w:tab w:pos="2176" w:val="left" w:leader="none"/>
          <w:tab w:pos="2177" w:val="left" w:leader="none"/>
        </w:tabs>
        <w:spacing w:line="253" w:lineRule="exact" w:before="0" w:after="0"/>
        <w:ind w:left="2176" w:right="0" w:hanging="576"/>
        <w:jc w:val="left"/>
        <w:rPr>
          <w:sz w:val="22"/>
        </w:rPr>
      </w:pPr>
      <w:r>
        <w:rPr>
          <w:sz w:val="22"/>
        </w:rPr>
        <w:t>Control joints in ceilings and other overhead</w:t>
      </w:r>
      <w:r>
        <w:rPr>
          <w:spacing w:val="-6"/>
          <w:sz w:val="22"/>
        </w:rPr>
        <w:t> </w:t>
      </w:r>
      <w:r>
        <w:rPr>
          <w:sz w:val="22"/>
        </w:rPr>
        <w:t>surfaces.</w:t>
      </w:r>
    </w:p>
    <w:p>
      <w:pPr>
        <w:pStyle w:val="ListParagraph"/>
        <w:numPr>
          <w:ilvl w:val="4"/>
          <w:numId w:val="1"/>
        </w:numPr>
        <w:tabs>
          <w:tab w:pos="2176" w:val="left" w:leader="none"/>
          <w:tab w:pos="2177" w:val="left" w:leader="none"/>
        </w:tabs>
        <w:spacing w:line="253" w:lineRule="exact" w:before="0" w:after="0"/>
        <w:ind w:left="2176" w:right="0" w:hanging="576"/>
        <w:jc w:val="left"/>
        <w:rPr>
          <w:sz w:val="22"/>
        </w:rPr>
      </w:pPr>
      <w:r>
        <w:rPr>
          <w:sz w:val="22"/>
        </w:rPr>
        <w:t>Other joints as</w:t>
      </w:r>
      <w:r>
        <w:rPr>
          <w:spacing w:val="-5"/>
          <w:sz w:val="22"/>
        </w:rPr>
        <w:t> </w:t>
      </w:r>
      <w:r>
        <w:rPr>
          <w:sz w:val="22"/>
        </w:rPr>
        <w:t>indicated.</w:t>
      </w:r>
    </w:p>
    <w:p>
      <w:pPr>
        <w:pStyle w:val="BodyText"/>
        <w:ind w:firstLine="0"/>
        <w:rPr>
          <w:sz w:val="21"/>
        </w:rPr>
      </w:pPr>
    </w:p>
    <w:p>
      <w:pPr>
        <w:pStyle w:val="ListParagraph"/>
        <w:numPr>
          <w:ilvl w:val="3"/>
          <w:numId w:val="1"/>
        </w:numPr>
        <w:tabs>
          <w:tab w:pos="1600" w:val="left" w:leader="none"/>
          <w:tab w:pos="1601" w:val="left" w:leader="none"/>
        </w:tabs>
        <w:spacing w:line="252" w:lineRule="exact" w:before="0" w:after="0"/>
        <w:ind w:left="1600" w:right="0" w:hanging="576"/>
        <w:jc w:val="left"/>
        <w:rPr>
          <w:sz w:val="22"/>
        </w:rPr>
      </w:pPr>
      <w:r>
        <w:rPr>
          <w:sz w:val="22"/>
        </w:rPr>
        <w:t>Exterior joints in the following horizontal traffic</w:t>
      </w:r>
      <w:r>
        <w:rPr>
          <w:spacing w:val="-13"/>
          <w:sz w:val="22"/>
        </w:rPr>
        <w:t> </w:t>
      </w:r>
      <w:r>
        <w:rPr>
          <w:sz w:val="22"/>
        </w:rPr>
        <w:t>surfaces:</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Isolation and contraction joints in cast-in-place concrete</w:t>
      </w:r>
      <w:r>
        <w:rPr>
          <w:spacing w:val="-10"/>
          <w:sz w:val="22"/>
        </w:rPr>
        <w:t> </w:t>
      </w:r>
      <w:r>
        <w:rPr>
          <w:sz w:val="22"/>
        </w:rPr>
        <w:t>slabs.</w:t>
      </w:r>
    </w:p>
    <w:p>
      <w:pPr>
        <w:pStyle w:val="ListParagraph"/>
        <w:numPr>
          <w:ilvl w:val="4"/>
          <w:numId w:val="1"/>
        </w:numPr>
        <w:tabs>
          <w:tab w:pos="2176" w:val="left" w:leader="none"/>
          <w:tab w:pos="2177" w:val="left" w:leader="none"/>
        </w:tabs>
        <w:spacing w:line="252" w:lineRule="exact" w:before="1" w:after="0"/>
        <w:ind w:left="2176" w:right="0" w:hanging="576"/>
        <w:jc w:val="left"/>
        <w:rPr>
          <w:sz w:val="22"/>
        </w:rPr>
      </w:pPr>
      <w:r>
        <w:rPr>
          <w:sz w:val="22"/>
        </w:rPr>
        <w:t>Joints between different materials listed</w:t>
      </w:r>
      <w:r>
        <w:rPr>
          <w:spacing w:val="-4"/>
          <w:sz w:val="22"/>
        </w:rPr>
        <w:t> </w:t>
      </w:r>
      <w:r>
        <w:rPr>
          <w:sz w:val="22"/>
        </w:rPr>
        <w:t>above.</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Other joints as</w:t>
      </w:r>
      <w:r>
        <w:rPr>
          <w:spacing w:val="-5"/>
          <w:sz w:val="22"/>
        </w:rPr>
        <w:t> </w:t>
      </w:r>
      <w:r>
        <w:rPr>
          <w:sz w:val="22"/>
        </w:rPr>
        <w:t>indicated.</w:t>
      </w:r>
    </w:p>
    <w:p>
      <w:pPr>
        <w:pStyle w:val="BodyText"/>
        <w:spacing w:before="9"/>
        <w:ind w:firstLine="0"/>
        <w:rPr>
          <w:sz w:val="20"/>
        </w:rPr>
      </w:pPr>
    </w:p>
    <w:p>
      <w:pPr>
        <w:pStyle w:val="ListParagraph"/>
        <w:numPr>
          <w:ilvl w:val="3"/>
          <w:numId w:val="1"/>
        </w:numPr>
        <w:tabs>
          <w:tab w:pos="1600" w:val="left" w:leader="none"/>
          <w:tab w:pos="1601" w:val="left" w:leader="none"/>
        </w:tabs>
        <w:spacing w:line="240" w:lineRule="auto" w:before="0" w:after="0"/>
        <w:ind w:left="1600" w:right="0" w:hanging="576"/>
        <w:jc w:val="left"/>
        <w:rPr>
          <w:sz w:val="22"/>
        </w:rPr>
      </w:pPr>
      <w:r>
        <w:rPr>
          <w:sz w:val="22"/>
        </w:rPr>
        <w:t>Interior joints in the following vertical surfaces and horizontal nontraffic</w:t>
      </w:r>
      <w:r>
        <w:rPr>
          <w:spacing w:val="-20"/>
          <w:sz w:val="22"/>
        </w:rPr>
        <w:t> </w:t>
      </w:r>
      <w:r>
        <w:rPr>
          <w:sz w:val="22"/>
        </w:rPr>
        <w:t>surfaces:</w:t>
      </w:r>
    </w:p>
    <w:p>
      <w:pPr>
        <w:pStyle w:val="BodyText"/>
        <w:ind w:firstLine="0"/>
        <w:rPr>
          <w:sz w:val="21"/>
        </w:rPr>
      </w:pP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Control joints on exposed interior surfaces of exterior</w:t>
      </w:r>
      <w:r>
        <w:rPr>
          <w:spacing w:val="-13"/>
          <w:sz w:val="22"/>
        </w:rPr>
        <w:t> </w:t>
      </w:r>
      <w:r>
        <w:rPr>
          <w:sz w:val="22"/>
        </w:rPr>
        <w:t>walls.</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Perimeter joints of exterior openings where</w:t>
      </w:r>
      <w:r>
        <w:rPr>
          <w:spacing w:val="-8"/>
          <w:sz w:val="22"/>
        </w:rPr>
        <w:t> </w:t>
      </w:r>
      <w:r>
        <w:rPr>
          <w:sz w:val="22"/>
        </w:rPr>
        <w:t>indicated.</w:t>
      </w:r>
    </w:p>
    <w:p>
      <w:pPr>
        <w:pStyle w:val="ListParagraph"/>
        <w:numPr>
          <w:ilvl w:val="4"/>
          <w:numId w:val="1"/>
        </w:numPr>
        <w:tabs>
          <w:tab w:pos="2176" w:val="left" w:leader="none"/>
          <w:tab w:pos="2177" w:val="left" w:leader="none"/>
        </w:tabs>
        <w:spacing w:line="252" w:lineRule="exact" w:before="2" w:after="0"/>
        <w:ind w:left="2176" w:right="0" w:hanging="576"/>
        <w:jc w:val="left"/>
        <w:rPr>
          <w:sz w:val="22"/>
        </w:rPr>
      </w:pPr>
      <w:r>
        <w:rPr>
          <w:sz w:val="22"/>
        </w:rPr>
        <w:t>Vertical joints on exposed surfaces of interior unit masonry walls and</w:t>
      </w:r>
      <w:r>
        <w:rPr>
          <w:spacing w:val="-22"/>
          <w:sz w:val="22"/>
        </w:rPr>
        <w:t> </w:t>
      </w:r>
      <w:r>
        <w:rPr>
          <w:sz w:val="22"/>
        </w:rPr>
        <w:t>partitions.</w:t>
      </w:r>
    </w:p>
    <w:p>
      <w:pPr>
        <w:pStyle w:val="ListParagraph"/>
        <w:numPr>
          <w:ilvl w:val="4"/>
          <w:numId w:val="1"/>
        </w:numPr>
        <w:tabs>
          <w:tab w:pos="2176" w:val="left" w:leader="none"/>
          <w:tab w:pos="2177" w:val="left" w:leader="none"/>
        </w:tabs>
        <w:spacing w:line="240" w:lineRule="auto" w:before="0" w:after="0"/>
        <w:ind w:left="2176" w:right="119" w:hanging="576"/>
        <w:jc w:val="left"/>
        <w:rPr>
          <w:sz w:val="22"/>
        </w:rPr>
      </w:pPr>
      <w:r>
        <w:rPr>
          <w:sz w:val="22"/>
        </w:rPr>
        <w:t>Perimeter joints between interior wall surfaces and frames of interior doors, windows and elevator</w:t>
      </w:r>
      <w:r>
        <w:rPr>
          <w:spacing w:val="-1"/>
          <w:sz w:val="22"/>
        </w:rPr>
        <w:t> </w:t>
      </w:r>
      <w:r>
        <w:rPr>
          <w:sz w:val="22"/>
        </w:rPr>
        <w:t>entrances.</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Joints between plumbing fixtures and adjoining walls, floors, and</w:t>
      </w:r>
      <w:r>
        <w:rPr>
          <w:spacing w:val="-15"/>
          <w:sz w:val="22"/>
        </w:rPr>
        <w:t> </w:t>
      </w:r>
      <w:r>
        <w:rPr>
          <w:sz w:val="22"/>
        </w:rPr>
        <w:t>counters.</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Other joints as</w:t>
      </w:r>
      <w:r>
        <w:rPr>
          <w:spacing w:val="-5"/>
          <w:sz w:val="22"/>
        </w:rPr>
        <w:t> </w:t>
      </w:r>
      <w:r>
        <w:rPr>
          <w:sz w:val="22"/>
        </w:rPr>
        <w:t>indicated.</w:t>
      </w:r>
    </w:p>
    <w:p>
      <w:pPr>
        <w:pStyle w:val="BodyText"/>
        <w:ind w:firstLine="0"/>
        <w:rPr>
          <w:sz w:val="21"/>
        </w:rPr>
      </w:pPr>
    </w:p>
    <w:p>
      <w:pPr>
        <w:pStyle w:val="ListParagraph"/>
        <w:numPr>
          <w:ilvl w:val="3"/>
          <w:numId w:val="1"/>
        </w:numPr>
        <w:tabs>
          <w:tab w:pos="1600" w:val="left" w:leader="none"/>
          <w:tab w:pos="1601" w:val="left" w:leader="none"/>
        </w:tabs>
        <w:spacing w:line="240" w:lineRule="auto" w:before="0" w:after="0"/>
        <w:ind w:left="1600" w:right="0" w:hanging="576"/>
        <w:jc w:val="left"/>
        <w:rPr>
          <w:sz w:val="22"/>
        </w:rPr>
      </w:pPr>
      <w:r>
        <w:rPr>
          <w:sz w:val="22"/>
        </w:rPr>
        <w:t>Interior joints in the following horizontal traffic</w:t>
      </w:r>
      <w:r>
        <w:rPr>
          <w:spacing w:val="-13"/>
          <w:sz w:val="22"/>
        </w:rPr>
        <w:t> </w:t>
      </w:r>
      <w:r>
        <w:rPr>
          <w:sz w:val="22"/>
        </w:rPr>
        <w:t>surfaces:</w:t>
      </w:r>
    </w:p>
    <w:p>
      <w:pPr>
        <w:pStyle w:val="BodyText"/>
        <w:spacing w:before="9"/>
        <w:ind w:firstLine="0"/>
        <w:rPr>
          <w:sz w:val="20"/>
        </w:rPr>
      </w:pP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Isolation joints in cast-in-place concrete</w:t>
      </w:r>
      <w:r>
        <w:rPr>
          <w:spacing w:val="-7"/>
          <w:sz w:val="22"/>
        </w:rPr>
        <w:t> </w:t>
      </w:r>
      <w:r>
        <w:rPr>
          <w:sz w:val="22"/>
        </w:rPr>
        <w:t>slabs.</w:t>
      </w:r>
    </w:p>
    <w:p>
      <w:pPr>
        <w:pStyle w:val="ListParagraph"/>
        <w:numPr>
          <w:ilvl w:val="4"/>
          <w:numId w:val="1"/>
        </w:numPr>
        <w:tabs>
          <w:tab w:pos="2176" w:val="left" w:leader="none"/>
          <w:tab w:pos="2177" w:val="left" w:leader="none"/>
        </w:tabs>
        <w:spacing w:line="252" w:lineRule="exact" w:before="0" w:after="0"/>
        <w:ind w:left="2176" w:right="0" w:hanging="576"/>
        <w:jc w:val="left"/>
        <w:rPr>
          <w:sz w:val="22"/>
        </w:rPr>
      </w:pPr>
      <w:r>
        <w:rPr>
          <w:sz w:val="22"/>
        </w:rPr>
        <w:t>Control joints in tile</w:t>
      </w:r>
      <w:r>
        <w:rPr>
          <w:spacing w:val="-10"/>
          <w:sz w:val="22"/>
        </w:rPr>
        <w:t> </w:t>
      </w:r>
      <w:r>
        <w:rPr>
          <w:sz w:val="22"/>
        </w:rPr>
        <w:t>flooring.</w:t>
      </w:r>
    </w:p>
    <w:p>
      <w:pPr>
        <w:pStyle w:val="ListParagraph"/>
        <w:numPr>
          <w:ilvl w:val="4"/>
          <w:numId w:val="1"/>
        </w:numPr>
        <w:tabs>
          <w:tab w:pos="2176" w:val="left" w:leader="none"/>
          <w:tab w:pos="2177" w:val="left" w:leader="none"/>
        </w:tabs>
        <w:spacing w:line="240" w:lineRule="auto" w:before="1" w:after="0"/>
        <w:ind w:left="2176" w:right="0" w:hanging="576"/>
        <w:jc w:val="left"/>
        <w:rPr>
          <w:sz w:val="22"/>
        </w:rPr>
      </w:pPr>
      <w:r>
        <w:rPr>
          <w:sz w:val="22"/>
        </w:rPr>
        <w:t>Other joints as</w:t>
      </w:r>
      <w:r>
        <w:rPr>
          <w:spacing w:val="-5"/>
          <w:sz w:val="22"/>
        </w:rPr>
        <w:t> </w:t>
      </w:r>
      <w:r>
        <w:rPr>
          <w:sz w:val="22"/>
        </w:rPr>
        <w:t>indicated.</w:t>
      </w:r>
    </w:p>
    <w:p>
      <w:pPr>
        <w:spacing w:after="0" w:line="240" w:lineRule="auto"/>
        <w:jc w:val="left"/>
        <w:rPr>
          <w:sz w:val="22"/>
        </w:rPr>
        <w:sectPr>
          <w:headerReference w:type="default" r:id="rId5"/>
          <w:footerReference w:type="default" r:id="rId6"/>
          <w:type w:val="continuous"/>
          <w:pgSz w:w="12240" w:h="15840"/>
          <w:pgMar w:header="722" w:footer="768" w:top="1340" w:bottom="960" w:left="1280" w:right="1320"/>
          <w:pgNumType w:start="1"/>
        </w:sectPr>
      </w:pPr>
    </w:p>
    <w:p>
      <w:pPr>
        <w:pStyle w:val="ListParagraph"/>
        <w:numPr>
          <w:ilvl w:val="2"/>
          <w:numId w:val="1"/>
        </w:numPr>
        <w:tabs>
          <w:tab w:pos="1024" w:val="left" w:leader="none"/>
          <w:tab w:pos="1025" w:val="left" w:leader="none"/>
        </w:tabs>
        <w:spacing w:line="240" w:lineRule="auto" w:before="81" w:after="0"/>
        <w:ind w:left="1024" w:right="0" w:hanging="576"/>
        <w:jc w:val="left"/>
        <w:rPr>
          <w:sz w:val="22"/>
        </w:rPr>
      </w:pPr>
      <w:r>
        <w:rPr>
          <w:sz w:val="22"/>
        </w:rPr>
        <w:t>Related Sections include the</w:t>
      </w:r>
      <w:r>
        <w:rPr>
          <w:spacing w:val="-3"/>
          <w:sz w:val="22"/>
        </w:rPr>
        <w:t> </w:t>
      </w:r>
      <w:r>
        <w:rPr>
          <w:sz w:val="22"/>
        </w:rPr>
        <w:t>following:</w:t>
      </w:r>
    </w:p>
    <w:p>
      <w:pPr>
        <w:pStyle w:val="BodyText"/>
        <w:spacing w:before="9"/>
        <w:ind w:firstLine="0"/>
        <w:rPr>
          <w:sz w:val="20"/>
        </w:rPr>
      </w:pPr>
    </w:p>
    <w:p>
      <w:pPr>
        <w:pStyle w:val="ListParagraph"/>
        <w:numPr>
          <w:ilvl w:val="3"/>
          <w:numId w:val="1"/>
        </w:numPr>
        <w:tabs>
          <w:tab w:pos="1600" w:val="left" w:leader="none"/>
          <w:tab w:pos="1601" w:val="left" w:leader="none"/>
        </w:tabs>
        <w:spacing w:line="240" w:lineRule="auto" w:before="1" w:after="0"/>
        <w:ind w:left="1600" w:right="122" w:hanging="576"/>
        <w:jc w:val="left"/>
        <w:rPr>
          <w:sz w:val="22"/>
        </w:rPr>
      </w:pPr>
      <w:r>
        <w:rPr>
          <w:sz w:val="22"/>
        </w:rPr>
        <w:t>Division 04 Section "Unit Masonry" for masonry control and expansion joint fillers and gaskets.</w:t>
      </w:r>
    </w:p>
    <w:p>
      <w:pPr>
        <w:pStyle w:val="ListParagraph"/>
        <w:numPr>
          <w:ilvl w:val="3"/>
          <w:numId w:val="1"/>
        </w:numPr>
        <w:tabs>
          <w:tab w:pos="1600" w:val="left" w:leader="none"/>
          <w:tab w:pos="1601" w:val="left" w:leader="none"/>
        </w:tabs>
        <w:spacing w:line="240" w:lineRule="auto" w:before="0" w:after="0"/>
        <w:ind w:left="1600" w:right="112" w:hanging="576"/>
        <w:jc w:val="left"/>
        <w:rPr>
          <w:sz w:val="22"/>
        </w:rPr>
      </w:pPr>
      <w:r>
        <w:rPr>
          <w:sz w:val="22"/>
        </w:rPr>
        <w:t>Division 07 Section "Fire-Resistive Joint Systems" for sealing joints in fire-resistance- rated</w:t>
      </w:r>
      <w:r>
        <w:rPr>
          <w:spacing w:val="-1"/>
          <w:sz w:val="22"/>
        </w:rPr>
        <w:t> </w:t>
      </w:r>
      <w:r>
        <w:rPr>
          <w:sz w:val="22"/>
        </w:rPr>
        <w:t>construction.</w:t>
      </w:r>
    </w:p>
    <w:p>
      <w:pPr>
        <w:pStyle w:val="ListParagraph"/>
        <w:numPr>
          <w:ilvl w:val="3"/>
          <w:numId w:val="1"/>
        </w:numPr>
        <w:tabs>
          <w:tab w:pos="1600" w:val="left" w:leader="none"/>
          <w:tab w:pos="1601" w:val="left" w:leader="none"/>
        </w:tabs>
        <w:spacing w:line="252" w:lineRule="exact" w:before="0" w:after="0"/>
        <w:ind w:left="1600" w:right="0" w:hanging="576"/>
        <w:jc w:val="left"/>
        <w:rPr>
          <w:sz w:val="22"/>
        </w:rPr>
      </w:pPr>
      <w:r>
        <w:rPr>
          <w:sz w:val="22"/>
        </w:rPr>
        <w:t>Division 08 Section "Glazing" for glazing</w:t>
      </w:r>
      <w:r>
        <w:rPr>
          <w:spacing w:val="-4"/>
          <w:sz w:val="22"/>
        </w:rPr>
        <w:t> </w:t>
      </w:r>
      <w:r>
        <w:rPr>
          <w:sz w:val="22"/>
        </w:rPr>
        <w:t>sealants.</w:t>
      </w:r>
    </w:p>
    <w:p>
      <w:pPr>
        <w:pStyle w:val="ListParagraph"/>
        <w:numPr>
          <w:ilvl w:val="3"/>
          <w:numId w:val="1"/>
        </w:numPr>
        <w:tabs>
          <w:tab w:pos="1600" w:val="left" w:leader="none"/>
          <w:tab w:pos="1601" w:val="left" w:leader="none"/>
        </w:tabs>
        <w:spacing w:line="240" w:lineRule="auto" w:before="0" w:after="0"/>
        <w:ind w:left="1600" w:right="122" w:hanging="576"/>
        <w:jc w:val="left"/>
        <w:rPr>
          <w:sz w:val="22"/>
        </w:rPr>
      </w:pPr>
      <w:r>
        <w:rPr>
          <w:sz w:val="22"/>
        </w:rPr>
        <w:t>Division 09 Section "Portland Cement Stucco" for sealing perimeter joints of gypsum veneer plaster partitions to reduce sound</w:t>
      </w:r>
      <w:r>
        <w:rPr>
          <w:spacing w:val="-6"/>
          <w:sz w:val="22"/>
        </w:rPr>
        <w:t> </w:t>
      </w:r>
      <w:r>
        <w:rPr>
          <w:sz w:val="22"/>
        </w:rPr>
        <w:t>transmission.</w:t>
      </w:r>
    </w:p>
    <w:p>
      <w:pPr>
        <w:pStyle w:val="ListParagraph"/>
        <w:numPr>
          <w:ilvl w:val="3"/>
          <w:numId w:val="1"/>
        </w:numPr>
        <w:tabs>
          <w:tab w:pos="1600" w:val="left" w:leader="none"/>
          <w:tab w:pos="1601" w:val="left" w:leader="none"/>
        </w:tabs>
        <w:spacing w:line="240" w:lineRule="auto" w:before="0" w:after="0"/>
        <w:ind w:left="1600" w:right="120" w:hanging="576"/>
        <w:jc w:val="left"/>
        <w:rPr>
          <w:sz w:val="22"/>
        </w:rPr>
      </w:pPr>
      <w:r>
        <w:rPr>
          <w:sz w:val="22"/>
        </w:rPr>
        <w:t>Division 09 Section "Gypsum Board" for sealing perimeter joints of gypsum board partitions to reduce sound</w:t>
      </w:r>
      <w:r>
        <w:rPr>
          <w:spacing w:val="-8"/>
          <w:sz w:val="22"/>
        </w:rPr>
        <w:t> </w:t>
      </w:r>
      <w:r>
        <w:rPr>
          <w:sz w:val="22"/>
        </w:rPr>
        <w:t>transmission.</w:t>
      </w:r>
    </w:p>
    <w:p>
      <w:pPr>
        <w:pStyle w:val="ListParagraph"/>
        <w:numPr>
          <w:ilvl w:val="3"/>
          <w:numId w:val="1"/>
        </w:numPr>
        <w:tabs>
          <w:tab w:pos="1600" w:val="left" w:leader="none"/>
          <w:tab w:pos="1601" w:val="left" w:leader="none"/>
        </w:tabs>
        <w:spacing w:line="252" w:lineRule="exact" w:before="1" w:after="0"/>
        <w:ind w:left="1600" w:right="0" w:hanging="576"/>
        <w:jc w:val="left"/>
        <w:rPr>
          <w:sz w:val="22"/>
        </w:rPr>
      </w:pPr>
      <w:r>
        <w:rPr>
          <w:sz w:val="22"/>
        </w:rPr>
        <w:t>Division 09 Section "Tiling" for sealing tile</w:t>
      </w:r>
      <w:r>
        <w:rPr>
          <w:spacing w:val="-6"/>
          <w:sz w:val="22"/>
        </w:rPr>
        <w:t> </w:t>
      </w:r>
      <w:r>
        <w:rPr>
          <w:sz w:val="22"/>
        </w:rPr>
        <w:t>joints.</w:t>
      </w:r>
    </w:p>
    <w:p>
      <w:pPr>
        <w:pStyle w:val="ListParagraph"/>
        <w:numPr>
          <w:ilvl w:val="3"/>
          <w:numId w:val="1"/>
        </w:numPr>
        <w:tabs>
          <w:tab w:pos="1600" w:val="left" w:leader="none"/>
          <w:tab w:pos="1601" w:val="left" w:leader="none"/>
        </w:tabs>
        <w:spacing w:line="240" w:lineRule="auto" w:before="0" w:after="0"/>
        <w:ind w:left="1600" w:right="115" w:hanging="576"/>
        <w:jc w:val="left"/>
        <w:rPr>
          <w:sz w:val="22"/>
        </w:rPr>
      </w:pPr>
      <w:r>
        <w:rPr>
          <w:sz w:val="22"/>
        </w:rPr>
        <w:t>Division 09 Section "Acoustical Panel Ceilings" for sealing edge moldings at perimeters of acoustical</w:t>
      </w:r>
      <w:r>
        <w:rPr>
          <w:spacing w:val="-3"/>
          <w:sz w:val="22"/>
        </w:rPr>
        <w:t> </w:t>
      </w:r>
      <w:r>
        <w:rPr>
          <w:sz w:val="22"/>
        </w:rPr>
        <w:t>ceilings.</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4" w:after="0"/>
        <w:ind w:left="1024" w:right="0" w:hanging="864"/>
        <w:jc w:val="left"/>
        <w:rPr>
          <w:sz w:val="22"/>
        </w:rPr>
      </w:pPr>
      <w:r>
        <w:rPr>
          <w:sz w:val="22"/>
        </w:rPr>
        <w:t>PERFORMANCE</w:t>
      </w:r>
      <w:r>
        <w:rPr>
          <w:spacing w:val="-1"/>
          <w:sz w:val="22"/>
        </w:rPr>
        <w:t> </w:t>
      </w:r>
      <w:r>
        <w:rPr>
          <w:sz w:val="22"/>
        </w:rPr>
        <w:t>REQUIREMENTS</w:t>
      </w:r>
    </w:p>
    <w:p>
      <w:pPr>
        <w:pStyle w:val="BodyText"/>
        <w:ind w:firstLine="0"/>
        <w:rPr>
          <w:sz w:val="21"/>
        </w:rPr>
      </w:pPr>
    </w:p>
    <w:p>
      <w:pPr>
        <w:pStyle w:val="ListParagraph"/>
        <w:numPr>
          <w:ilvl w:val="2"/>
          <w:numId w:val="1"/>
        </w:numPr>
        <w:tabs>
          <w:tab w:pos="1024" w:val="left" w:leader="none"/>
          <w:tab w:pos="1025" w:val="left" w:leader="none"/>
        </w:tabs>
        <w:spacing w:line="240" w:lineRule="auto" w:before="0" w:after="0"/>
        <w:ind w:left="1024" w:right="123" w:hanging="576"/>
        <w:jc w:val="left"/>
        <w:rPr>
          <w:sz w:val="22"/>
        </w:rPr>
      </w:pPr>
      <w:r>
        <w:rPr>
          <w:sz w:val="22"/>
        </w:rPr>
        <w:t>Provide elastomeric joint sealants that establish and maintain watertight and airtight continuous joint seals without staining or deteriorating joint</w:t>
      </w:r>
      <w:r>
        <w:rPr>
          <w:spacing w:val="-12"/>
          <w:sz w:val="22"/>
        </w:rPr>
        <w:t> </w:t>
      </w:r>
      <w:r>
        <w:rPr>
          <w:sz w:val="22"/>
        </w:rPr>
        <w:t>substrates.</w:t>
      </w:r>
    </w:p>
    <w:p>
      <w:pPr>
        <w:pStyle w:val="BodyText"/>
        <w:spacing w:before="11"/>
        <w:ind w:firstLine="0"/>
        <w:rPr>
          <w:sz w:val="20"/>
        </w:rPr>
      </w:pPr>
    </w:p>
    <w:p>
      <w:pPr>
        <w:pStyle w:val="ListParagraph"/>
        <w:numPr>
          <w:ilvl w:val="2"/>
          <w:numId w:val="1"/>
        </w:numPr>
        <w:tabs>
          <w:tab w:pos="1024" w:val="left" w:leader="none"/>
          <w:tab w:pos="1025" w:val="left" w:leader="none"/>
        </w:tabs>
        <w:spacing w:line="240" w:lineRule="auto" w:before="0" w:after="0"/>
        <w:ind w:left="1024" w:right="109" w:hanging="576"/>
        <w:jc w:val="left"/>
        <w:rPr>
          <w:sz w:val="22"/>
        </w:rPr>
      </w:pPr>
      <w:r>
        <w:rPr>
          <w:sz w:val="22"/>
        </w:rPr>
        <w:t>Provide joint sealants for interior applications that establish and maintain airtight and water- resistant continuous joint seals without staining or deteriorating joint</w:t>
      </w:r>
      <w:r>
        <w:rPr>
          <w:spacing w:val="-17"/>
          <w:sz w:val="22"/>
        </w:rPr>
        <w:t> </w:t>
      </w:r>
      <w:r>
        <w:rPr>
          <w:sz w:val="22"/>
        </w:rPr>
        <w:t>substrates.</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2" w:after="0"/>
        <w:ind w:left="1024" w:right="0" w:hanging="864"/>
        <w:jc w:val="left"/>
        <w:rPr>
          <w:sz w:val="22"/>
        </w:rPr>
      </w:pPr>
      <w:r>
        <w:rPr>
          <w:sz w:val="22"/>
        </w:rPr>
        <w:t>SUBMITTALS</w:t>
      </w:r>
    </w:p>
    <w:p>
      <w:pPr>
        <w:pStyle w:val="BodyText"/>
        <w:ind w:firstLine="0"/>
        <w:rPr>
          <w:sz w:val="21"/>
        </w:rPr>
      </w:pPr>
    </w:p>
    <w:p>
      <w:pPr>
        <w:pStyle w:val="ListParagraph"/>
        <w:numPr>
          <w:ilvl w:val="2"/>
          <w:numId w:val="1"/>
        </w:numPr>
        <w:tabs>
          <w:tab w:pos="1024" w:val="left" w:leader="none"/>
          <w:tab w:pos="1025" w:val="left" w:leader="none"/>
        </w:tabs>
        <w:spacing w:line="240" w:lineRule="auto" w:before="0" w:after="0"/>
        <w:ind w:left="1024" w:right="0" w:hanging="576"/>
        <w:jc w:val="left"/>
        <w:rPr>
          <w:sz w:val="22"/>
        </w:rPr>
      </w:pPr>
      <w:r>
        <w:rPr>
          <w:sz w:val="22"/>
        </w:rPr>
        <w:t>Product Data: For each joint-sealant product</w:t>
      </w:r>
      <w:r>
        <w:rPr>
          <w:spacing w:val="-3"/>
          <w:sz w:val="22"/>
        </w:rPr>
        <w:t> </w:t>
      </w:r>
      <w:r>
        <w:rPr>
          <w:sz w:val="22"/>
        </w:rPr>
        <w:t>indicated.</w:t>
      </w:r>
    </w:p>
    <w:p>
      <w:pPr>
        <w:pStyle w:val="BodyText"/>
        <w:spacing w:before="9"/>
        <w:ind w:firstLine="0"/>
        <w:rPr>
          <w:sz w:val="20"/>
        </w:rPr>
      </w:pPr>
    </w:p>
    <w:p>
      <w:pPr>
        <w:pStyle w:val="ListParagraph"/>
        <w:numPr>
          <w:ilvl w:val="2"/>
          <w:numId w:val="1"/>
        </w:numPr>
        <w:tabs>
          <w:tab w:pos="1024" w:val="left" w:leader="none"/>
          <w:tab w:pos="1025" w:val="left" w:leader="none"/>
        </w:tabs>
        <w:spacing w:line="240" w:lineRule="auto" w:before="0" w:after="0"/>
        <w:ind w:left="1024" w:right="120" w:hanging="576"/>
        <w:jc w:val="left"/>
        <w:rPr>
          <w:sz w:val="22"/>
        </w:rPr>
      </w:pPr>
      <w:r>
        <w:rPr>
          <w:sz w:val="22"/>
        </w:rPr>
        <w:t>Samples for Initial Selection: Manufacturer's color charts consisting of strips of cured sealants showing the full range of colors available for each product exposed to</w:t>
      </w:r>
      <w:r>
        <w:rPr>
          <w:spacing w:val="-16"/>
          <w:sz w:val="22"/>
        </w:rPr>
        <w:t> </w:t>
      </w:r>
      <w:r>
        <w:rPr>
          <w:sz w:val="22"/>
        </w:rPr>
        <w:t>view.</w:t>
      </w:r>
    </w:p>
    <w:p>
      <w:pPr>
        <w:pStyle w:val="BodyText"/>
        <w:spacing w:before="10"/>
        <w:ind w:firstLine="0"/>
        <w:rPr>
          <w:sz w:val="20"/>
        </w:rPr>
      </w:pPr>
    </w:p>
    <w:p>
      <w:pPr>
        <w:pStyle w:val="ListParagraph"/>
        <w:numPr>
          <w:ilvl w:val="2"/>
          <w:numId w:val="1"/>
        </w:numPr>
        <w:tabs>
          <w:tab w:pos="1025" w:val="left" w:leader="none"/>
        </w:tabs>
        <w:spacing w:line="240" w:lineRule="auto" w:before="1" w:after="0"/>
        <w:ind w:left="1024" w:right="116" w:hanging="576"/>
        <w:jc w:val="both"/>
        <w:rPr>
          <w:sz w:val="22"/>
        </w:rPr>
      </w:pPr>
      <w:r>
        <w:rPr>
          <w:sz w:val="22"/>
        </w:rPr>
        <w:t>Samples for Verification: For each type and color of joint sealant required, provide Samples with joint sealants in 1/2-inch- (13-mm-) wide joints formed between two 6-inch- (150-mm-) long strips of material matching the appearance of exposed surfaces adjacent to joint</w:t>
      </w:r>
      <w:r>
        <w:rPr>
          <w:spacing w:val="-23"/>
          <w:sz w:val="22"/>
        </w:rPr>
        <w:t> </w:t>
      </w:r>
      <w:r>
        <w:rPr>
          <w:sz w:val="22"/>
        </w:rPr>
        <w:t>sealants.</w:t>
      </w:r>
    </w:p>
    <w:p>
      <w:pPr>
        <w:pStyle w:val="BodyText"/>
        <w:spacing w:before="9"/>
        <w:ind w:firstLine="0"/>
        <w:rPr>
          <w:sz w:val="20"/>
        </w:rPr>
      </w:pPr>
    </w:p>
    <w:p>
      <w:pPr>
        <w:pStyle w:val="ListParagraph"/>
        <w:numPr>
          <w:ilvl w:val="2"/>
          <w:numId w:val="1"/>
        </w:numPr>
        <w:tabs>
          <w:tab w:pos="1024" w:val="left" w:leader="none"/>
          <w:tab w:pos="1025" w:val="left" w:leader="none"/>
          <w:tab w:pos="3189" w:val="left" w:leader="none"/>
        </w:tabs>
        <w:spacing w:line="240" w:lineRule="auto" w:before="0" w:after="0"/>
        <w:ind w:left="1024" w:right="123" w:hanging="576"/>
        <w:jc w:val="left"/>
        <w:rPr>
          <w:sz w:val="22"/>
        </w:rPr>
      </w:pPr>
      <w:r>
        <w:rPr>
          <w:sz w:val="22"/>
        </w:rPr>
        <w:t>Product </w:t>
      </w:r>
      <w:r>
        <w:rPr>
          <w:spacing w:val="22"/>
          <w:sz w:val="22"/>
        </w:rPr>
        <w:t> </w:t>
      </w:r>
      <w:r>
        <w:rPr>
          <w:sz w:val="22"/>
        </w:rPr>
        <w:t>Certificates:</w:t>
        <w:tab/>
        <w:t>For each type of joint sealant and accessory, signed by product manufacturer.</w:t>
      </w:r>
    </w:p>
    <w:p>
      <w:pPr>
        <w:pStyle w:val="BodyText"/>
        <w:spacing w:before="10"/>
        <w:ind w:firstLine="0"/>
        <w:rPr>
          <w:sz w:val="20"/>
        </w:rPr>
      </w:pPr>
    </w:p>
    <w:p>
      <w:pPr>
        <w:pStyle w:val="ListParagraph"/>
        <w:numPr>
          <w:ilvl w:val="2"/>
          <w:numId w:val="1"/>
        </w:numPr>
        <w:tabs>
          <w:tab w:pos="1024" w:val="left" w:leader="none"/>
          <w:tab w:pos="1025" w:val="left" w:leader="none"/>
        </w:tabs>
        <w:spacing w:line="240" w:lineRule="auto" w:before="1" w:after="0"/>
        <w:ind w:left="1024" w:right="0" w:hanging="576"/>
        <w:jc w:val="left"/>
        <w:rPr>
          <w:sz w:val="22"/>
        </w:rPr>
      </w:pPr>
      <w:r>
        <w:rPr>
          <w:sz w:val="22"/>
        </w:rPr>
        <w:t>Qualification Data: For Installer.</w:t>
      </w:r>
    </w:p>
    <w:p>
      <w:pPr>
        <w:pStyle w:val="BodyText"/>
        <w:spacing w:before="8"/>
        <w:ind w:firstLine="0"/>
        <w:rPr>
          <w:sz w:val="20"/>
        </w:rPr>
      </w:pPr>
    </w:p>
    <w:p>
      <w:pPr>
        <w:pStyle w:val="ListParagraph"/>
        <w:numPr>
          <w:ilvl w:val="2"/>
          <w:numId w:val="1"/>
        </w:numPr>
        <w:tabs>
          <w:tab w:pos="1024" w:val="left" w:leader="none"/>
          <w:tab w:pos="1025" w:val="left" w:leader="none"/>
        </w:tabs>
        <w:spacing w:line="240" w:lineRule="auto" w:before="1" w:after="0"/>
        <w:ind w:left="1024" w:right="0" w:hanging="576"/>
        <w:jc w:val="left"/>
        <w:rPr>
          <w:sz w:val="22"/>
        </w:rPr>
      </w:pPr>
      <w:r>
        <w:rPr>
          <w:sz w:val="22"/>
        </w:rPr>
        <w:t>Compatibility and Adhesion Test Reports: From sealant manufacturer, indicating the</w:t>
      </w:r>
      <w:r>
        <w:rPr>
          <w:spacing w:val="-25"/>
          <w:sz w:val="22"/>
        </w:rPr>
        <w:t> </w:t>
      </w:r>
      <w:r>
        <w:rPr>
          <w:sz w:val="22"/>
        </w:rPr>
        <w:t>following:</w:t>
      </w:r>
    </w:p>
    <w:p>
      <w:pPr>
        <w:pStyle w:val="BodyText"/>
        <w:ind w:firstLine="0"/>
        <w:rPr>
          <w:sz w:val="21"/>
        </w:rPr>
      </w:pPr>
    </w:p>
    <w:p>
      <w:pPr>
        <w:pStyle w:val="ListParagraph"/>
        <w:numPr>
          <w:ilvl w:val="3"/>
          <w:numId w:val="1"/>
        </w:numPr>
        <w:tabs>
          <w:tab w:pos="1600" w:val="left" w:leader="none"/>
          <w:tab w:pos="1601" w:val="left" w:leader="none"/>
        </w:tabs>
        <w:spacing w:line="240" w:lineRule="auto" w:before="0" w:after="0"/>
        <w:ind w:left="1600" w:right="118" w:hanging="576"/>
        <w:jc w:val="left"/>
        <w:rPr>
          <w:sz w:val="22"/>
        </w:rPr>
      </w:pPr>
      <w:r>
        <w:rPr>
          <w:sz w:val="22"/>
        </w:rPr>
        <w:t>Materials forming joint substrates and joint-sealant backings have been tested for compatibility and adhesion with joint</w:t>
      </w:r>
      <w:r>
        <w:rPr>
          <w:spacing w:val="-9"/>
          <w:sz w:val="22"/>
        </w:rPr>
        <w:t> </w:t>
      </w:r>
      <w:r>
        <w:rPr>
          <w:sz w:val="22"/>
        </w:rPr>
        <w:t>sealants.</w:t>
      </w:r>
    </w:p>
    <w:p>
      <w:pPr>
        <w:pStyle w:val="ListParagraph"/>
        <w:numPr>
          <w:ilvl w:val="3"/>
          <w:numId w:val="1"/>
        </w:numPr>
        <w:tabs>
          <w:tab w:pos="1600" w:val="left" w:leader="none"/>
          <w:tab w:pos="1601" w:val="left" w:leader="none"/>
        </w:tabs>
        <w:spacing w:line="240" w:lineRule="auto" w:before="1" w:after="0"/>
        <w:ind w:left="1600" w:right="116" w:hanging="576"/>
        <w:jc w:val="left"/>
        <w:rPr>
          <w:sz w:val="22"/>
        </w:rPr>
      </w:pPr>
      <w:r>
        <w:rPr>
          <w:sz w:val="22"/>
        </w:rPr>
        <w:t>Interpretation of test results and written recommendations for primers and substrate preparation needed for</w:t>
      </w:r>
      <w:r>
        <w:rPr>
          <w:spacing w:val="-5"/>
          <w:sz w:val="22"/>
        </w:rPr>
        <w:t> </w:t>
      </w:r>
      <w:r>
        <w:rPr>
          <w:sz w:val="22"/>
        </w:rPr>
        <w:t>adhesion.</w:t>
      </w:r>
    </w:p>
    <w:p>
      <w:pPr>
        <w:spacing w:after="0" w:line="240" w:lineRule="auto"/>
        <w:jc w:val="left"/>
        <w:rPr>
          <w:sz w:val="22"/>
        </w:rPr>
        <w:sectPr>
          <w:pgSz w:w="12240" w:h="15840"/>
          <w:pgMar w:header="722" w:footer="768" w:top="1340" w:bottom="960" w:left="1280" w:right="1320"/>
        </w:sectPr>
      </w:pPr>
    </w:p>
    <w:p>
      <w:pPr>
        <w:pStyle w:val="ListParagraph"/>
        <w:numPr>
          <w:ilvl w:val="1"/>
          <w:numId w:val="1"/>
        </w:numPr>
        <w:tabs>
          <w:tab w:pos="1024" w:val="left" w:leader="none"/>
          <w:tab w:pos="1025" w:val="left" w:leader="none"/>
        </w:tabs>
        <w:spacing w:line="240" w:lineRule="auto" w:before="81" w:after="0"/>
        <w:ind w:left="1024" w:right="0" w:hanging="864"/>
        <w:jc w:val="left"/>
        <w:rPr>
          <w:sz w:val="22"/>
        </w:rPr>
      </w:pPr>
      <w:r>
        <w:rPr>
          <w:sz w:val="22"/>
        </w:rPr>
        <w:t>QUALITY</w:t>
      </w:r>
      <w:r>
        <w:rPr>
          <w:spacing w:val="-2"/>
          <w:sz w:val="22"/>
        </w:rPr>
        <w:t> </w:t>
      </w:r>
      <w:r>
        <w:rPr>
          <w:sz w:val="22"/>
        </w:rPr>
        <w:t>ASSURANCE</w:t>
      </w:r>
    </w:p>
    <w:p>
      <w:pPr>
        <w:pStyle w:val="BodyText"/>
        <w:spacing w:before="9"/>
        <w:ind w:firstLine="0"/>
        <w:rPr>
          <w:sz w:val="20"/>
        </w:rPr>
      </w:pPr>
    </w:p>
    <w:p>
      <w:pPr>
        <w:pStyle w:val="ListParagraph"/>
        <w:numPr>
          <w:ilvl w:val="2"/>
          <w:numId w:val="1"/>
        </w:numPr>
        <w:tabs>
          <w:tab w:pos="1025" w:val="left" w:leader="none"/>
        </w:tabs>
        <w:spacing w:line="240" w:lineRule="auto" w:before="1" w:after="0"/>
        <w:ind w:left="1024" w:right="119" w:hanging="576"/>
        <w:jc w:val="both"/>
        <w:rPr>
          <w:sz w:val="22"/>
        </w:rPr>
      </w:pPr>
      <w:r>
        <w:rPr>
          <w:sz w:val="22"/>
        </w:rPr>
        <w:t>Source Limitations: Obtain each type of joint sealant through one source from a single manufacturer.</w:t>
      </w:r>
    </w:p>
    <w:p>
      <w:pPr>
        <w:pStyle w:val="BodyText"/>
        <w:spacing w:before="10"/>
        <w:ind w:firstLine="0"/>
        <w:rPr>
          <w:sz w:val="20"/>
        </w:rPr>
      </w:pPr>
    </w:p>
    <w:p>
      <w:pPr>
        <w:pStyle w:val="ListParagraph"/>
        <w:numPr>
          <w:ilvl w:val="2"/>
          <w:numId w:val="1"/>
        </w:numPr>
        <w:tabs>
          <w:tab w:pos="1025" w:val="left" w:leader="none"/>
        </w:tabs>
        <w:spacing w:line="240" w:lineRule="auto" w:before="0" w:after="0"/>
        <w:ind w:left="1024" w:right="123" w:hanging="576"/>
        <w:jc w:val="both"/>
        <w:rPr>
          <w:sz w:val="22"/>
        </w:rPr>
      </w:pPr>
      <w:r>
        <w:rPr>
          <w:sz w:val="22"/>
        </w:rPr>
        <w:t>Perform work in accordance with sealant manufacturer’s requirements for preparation of surfaces and material installation</w:t>
      </w:r>
      <w:r>
        <w:rPr>
          <w:spacing w:val="-6"/>
          <w:sz w:val="22"/>
        </w:rPr>
        <w:t> </w:t>
      </w:r>
      <w:r>
        <w:rPr>
          <w:sz w:val="22"/>
        </w:rPr>
        <w:t>instructions.</w:t>
      </w:r>
    </w:p>
    <w:p>
      <w:pPr>
        <w:pStyle w:val="BodyText"/>
        <w:spacing w:before="10"/>
        <w:ind w:firstLine="0"/>
        <w:rPr>
          <w:sz w:val="20"/>
        </w:rPr>
      </w:pPr>
    </w:p>
    <w:p>
      <w:pPr>
        <w:pStyle w:val="ListParagraph"/>
        <w:numPr>
          <w:ilvl w:val="2"/>
          <w:numId w:val="1"/>
        </w:numPr>
        <w:tabs>
          <w:tab w:pos="1024" w:val="left" w:leader="none"/>
          <w:tab w:pos="1025" w:val="left" w:leader="none"/>
        </w:tabs>
        <w:spacing w:line="240" w:lineRule="auto" w:before="0" w:after="0"/>
        <w:ind w:left="1024" w:right="0" w:hanging="576"/>
        <w:jc w:val="left"/>
        <w:rPr>
          <w:sz w:val="22"/>
        </w:rPr>
      </w:pPr>
      <w:r>
        <w:rPr>
          <w:sz w:val="22"/>
        </w:rPr>
        <w:t>Perform acoustical sealant application work in accordance with ASTM</w:t>
      </w:r>
      <w:r>
        <w:rPr>
          <w:spacing w:val="-16"/>
          <w:sz w:val="22"/>
        </w:rPr>
        <w:t> </w:t>
      </w:r>
      <w:r>
        <w:rPr>
          <w:sz w:val="22"/>
        </w:rPr>
        <w:t>C919.</w:t>
      </w:r>
    </w:p>
    <w:p>
      <w:pPr>
        <w:pStyle w:val="BodyText"/>
        <w:spacing w:before="9"/>
        <w:ind w:firstLine="0"/>
        <w:rPr>
          <w:sz w:val="20"/>
        </w:rPr>
      </w:pPr>
    </w:p>
    <w:p>
      <w:pPr>
        <w:pStyle w:val="ListParagraph"/>
        <w:numPr>
          <w:ilvl w:val="2"/>
          <w:numId w:val="1"/>
        </w:numPr>
        <w:tabs>
          <w:tab w:pos="1025" w:val="left" w:leader="none"/>
        </w:tabs>
        <w:spacing w:line="240" w:lineRule="auto" w:before="0" w:after="0"/>
        <w:ind w:left="1024" w:right="123" w:hanging="576"/>
        <w:jc w:val="both"/>
        <w:rPr>
          <w:sz w:val="22"/>
        </w:rPr>
      </w:pPr>
      <w:r>
        <w:rPr>
          <w:sz w:val="22"/>
        </w:rPr>
        <w:t>Product Testing: Obtain test results for "Product Test Reports" Paragraph in "Submittals" Article from a qualified testing agency based on testing current sealant formulations within a 36-month period preceding the commencement of the</w:t>
      </w:r>
      <w:r>
        <w:rPr>
          <w:spacing w:val="-5"/>
          <w:sz w:val="22"/>
        </w:rPr>
        <w:t> </w:t>
      </w:r>
      <w:r>
        <w:rPr>
          <w:sz w:val="22"/>
        </w:rPr>
        <w:t>Work.</w:t>
      </w:r>
    </w:p>
    <w:p>
      <w:pPr>
        <w:pStyle w:val="BodyText"/>
        <w:spacing w:before="1"/>
        <w:ind w:firstLine="0"/>
        <w:rPr>
          <w:sz w:val="21"/>
        </w:rPr>
      </w:pPr>
    </w:p>
    <w:p>
      <w:pPr>
        <w:pStyle w:val="ListParagraph"/>
        <w:numPr>
          <w:ilvl w:val="3"/>
          <w:numId w:val="1"/>
        </w:numPr>
        <w:tabs>
          <w:tab w:pos="1600" w:val="left" w:leader="none"/>
          <w:tab w:pos="1601" w:val="left" w:leader="none"/>
        </w:tabs>
        <w:spacing w:line="240" w:lineRule="auto" w:before="0" w:after="0"/>
        <w:ind w:left="1600" w:right="122" w:hanging="576"/>
        <w:jc w:val="left"/>
        <w:rPr>
          <w:sz w:val="22"/>
        </w:rPr>
      </w:pPr>
      <w:r>
        <w:rPr>
          <w:sz w:val="22"/>
        </w:rPr>
        <w:t>Test elastomeric joint sealants for compliance with requirements specified by reference to ASTM C 920, and where applicable, to other standard test</w:t>
      </w:r>
      <w:r>
        <w:rPr>
          <w:spacing w:val="-4"/>
          <w:sz w:val="22"/>
        </w:rPr>
        <w:t> </w:t>
      </w:r>
      <w:r>
        <w:rPr>
          <w:sz w:val="22"/>
        </w:rPr>
        <w:t>methods.</w:t>
      </w:r>
    </w:p>
    <w:p>
      <w:pPr>
        <w:pStyle w:val="ListParagraph"/>
        <w:numPr>
          <w:ilvl w:val="3"/>
          <w:numId w:val="1"/>
        </w:numPr>
        <w:tabs>
          <w:tab w:pos="1601" w:val="left" w:leader="none"/>
        </w:tabs>
        <w:spacing w:line="240" w:lineRule="auto" w:before="0" w:after="0"/>
        <w:ind w:left="1600" w:right="114" w:hanging="576"/>
        <w:jc w:val="both"/>
        <w:rPr>
          <w:sz w:val="22"/>
        </w:rPr>
      </w:pPr>
      <w:r>
        <w:rPr>
          <w:sz w:val="22"/>
        </w:rPr>
        <w:t>Test elastomeric joint sealants according to SWRI's Sealant Validation Program for compliance with requirements specified by reference to ASTM C 920 for adhesion and cohesion under cyclic movement, adhesion-in-peel, and indentation</w:t>
      </w:r>
      <w:r>
        <w:rPr>
          <w:spacing w:val="-4"/>
          <w:sz w:val="22"/>
        </w:rPr>
        <w:t> </w:t>
      </w:r>
      <w:r>
        <w:rPr>
          <w:sz w:val="22"/>
        </w:rPr>
        <w:t>hardness.</w:t>
      </w:r>
    </w:p>
    <w:p>
      <w:pPr>
        <w:pStyle w:val="BodyText"/>
        <w:spacing w:before="10"/>
        <w:ind w:firstLine="0"/>
        <w:rPr>
          <w:sz w:val="20"/>
        </w:rPr>
      </w:pPr>
    </w:p>
    <w:p>
      <w:pPr>
        <w:pStyle w:val="ListParagraph"/>
        <w:numPr>
          <w:ilvl w:val="2"/>
          <w:numId w:val="1"/>
        </w:numPr>
        <w:tabs>
          <w:tab w:pos="1025" w:val="left" w:leader="none"/>
        </w:tabs>
        <w:spacing w:line="240" w:lineRule="auto" w:before="0" w:after="0"/>
        <w:ind w:left="1024" w:right="118" w:hanging="576"/>
        <w:jc w:val="both"/>
        <w:rPr>
          <w:sz w:val="22"/>
        </w:rPr>
      </w:pPr>
      <w:r>
        <w:rPr>
          <w:sz w:val="22"/>
        </w:rPr>
        <w:t>Mockups: Build mockups incorporating sealant joints, as follows, to verify selections made under sample submittals and to demonstrate aesthetic effects and set quality standards for materials and</w:t>
      </w:r>
      <w:r>
        <w:rPr>
          <w:spacing w:val="-1"/>
          <w:sz w:val="22"/>
        </w:rPr>
        <w:t> </w:t>
      </w:r>
      <w:r>
        <w:rPr>
          <w:sz w:val="22"/>
        </w:rPr>
        <w:t>execution:</w:t>
      </w:r>
    </w:p>
    <w:p>
      <w:pPr>
        <w:pStyle w:val="BodyText"/>
        <w:spacing w:before="10"/>
        <w:ind w:firstLine="0"/>
        <w:rPr>
          <w:sz w:val="20"/>
        </w:rPr>
      </w:pPr>
    </w:p>
    <w:p>
      <w:pPr>
        <w:pStyle w:val="ListParagraph"/>
        <w:numPr>
          <w:ilvl w:val="3"/>
          <w:numId w:val="1"/>
        </w:numPr>
        <w:tabs>
          <w:tab w:pos="1600" w:val="left" w:leader="none"/>
          <w:tab w:pos="1601" w:val="left" w:leader="none"/>
        </w:tabs>
        <w:spacing w:line="240" w:lineRule="auto" w:before="0" w:after="0"/>
        <w:ind w:left="1600" w:right="117" w:hanging="576"/>
        <w:jc w:val="left"/>
        <w:rPr>
          <w:sz w:val="22"/>
        </w:rPr>
      </w:pPr>
      <w:r>
        <w:rPr>
          <w:sz w:val="22"/>
        </w:rPr>
        <w:t>Joints in mockups of assemblies specified in other Sections that are indicated to receive elastomeric joint sealants, which are specified by reference to this</w:t>
      </w:r>
      <w:r>
        <w:rPr>
          <w:spacing w:val="-24"/>
          <w:sz w:val="22"/>
        </w:rPr>
        <w:t> </w:t>
      </w:r>
      <w:r>
        <w:rPr>
          <w:sz w:val="22"/>
        </w:rPr>
        <w:t>Section.</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4" w:after="0"/>
        <w:ind w:left="1024" w:right="0" w:hanging="864"/>
        <w:jc w:val="left"/>
        <w:rPr>
          <w:sz w:val="22"/>
        </w:rPr>
      </w:pPr>
      <w:r>
        <w:rPr>
          <w:sz w:val="22"/>
        </w:rPr>
        <w:t>PROJECT CONDITIONS</w:t>
      </w:r>
    </w:p>
    <w:p>
      <w:pPr>
        <w:pStyle w:val="BodyText"/>
        <w:spacing w:before="10"/>
        <w:ind w:firstLine="0"/>
        <w:rPr>
          <w:sz w:val="20"/>
        </w:rPr>
      </w:pPr>
    </w:p>
    <w:p>
      <w:pPr>
        <w:pStyle w:val="ListParagraph"/>
        <w:numPr>
          <w:ilvl w:val="2"/>
          <w:numId w:val="1"/>
        </w:numPr>
        <w:tabs>
          <w:tab w:pos="1024" w:val="left" w:leader="none"/>
          <w:tab w:pos="1025" w:val="left" w:leader="none"/>
        </w:tabs>
        <w:spacing w:line="240" w:lineRule="auto" w:before="0" w:after="0"/>
        <w:ind w:left="1024" w:right="0" w:hanging="576"/>
        <w:jc w:val="left"/>
        <w:rPr>
          <w:sz w:val="22"/>
        </w:rPr>
      </w:pPr>
      <w:r>
        <w:rPr>
          <w:sz w:val="22"/>
        </w:rPr>
        <w:t>Do not proceed with installation of joint sealants under the following</w:t>
      </w:r>
      <w:r>
        <w:rPr>
          <w:spacing w:val="-19"/>
          <w:sz w:val="22"/>
        </w:rPr>
        <w:t> </w:t>
      </w:r>
      <w:r>
        <w:rPr>
          <w:sz w:val="22"/>
        </w:rPr>
        <w:t>conditions:</w:t>
      </w:r>
    </w:p>
    <w:p>
      <w:pPr>
        <w:pStyle w:val="BodyText"/>
        <w:ind w:firstLine="0"/>
        <w:rPr>
          <w:sz w:val="21"/>
        </w:rPr>
      </w:pPr>
    </w:p>
    <w:p>
      <w:pPr>
        <w:pStyle w:val="ListParagraph"/>
        <w:numPr>
          <w:ilvl w:val="3"/>
          <w:numId w:val="1"/>
        </w:numPr>
        <w:tabs>
          <w:tab w:pos="1600" w:val="left" w:leader="none"/>
          <w:tab w:pos="1601" w:val="left" w:leader="none"/>
        </w:tabs>
        <w:spacing w:line="240" w:lineRule="auto" w:before="0" w:after="0"/>
        <w:ind w:left="1600" w:right="114" w:hanging="576"/>
        <w:jc w:val="left"/>
        <w:rPr>
          <w:sz w:val="22"/>
        </w:rPr>
      </w:pPr>
      <w:r>
        <w:rPr>
          <w:sz w:val="22"/>
        </w:rPr>
        <w:t>When ambient and substrate temperature conditions are outside limits permitted by joint- sealant manufacturer or are below 40 deg F (5 deg</w:t>
      </w:r>
      <w:r>
        <w:rPr>
          <w:spacing w:val="-9"/>
          <w:sz w:val="22"/>
        </w:rPr>
        <w:t> </w:t>
      </w:r>
      <w:r>
        <w:rPr>
          <w:sz w:val="22"/>
        </w:rPr>
        <w:t>C).</w:t>
      </w:r>
    </w:p>
    <w:p>
      <w:pPr>
        <w:pStyle w:val="ListParagraph"/>
        <w:numPr>
          <w:ilvl w:val="3"/>
          <w:numId w:val="1"/>
        </w:numPr>
        <w:tabs>
          <w:tab w:pos="1600" w:val="left" w:leader="none"/>
          <w:tab w:pos="1601" w:val="left" w:leader="none"/>
        </w:tabs>
        <w:spacing w:line="251" w:lineRule="exact" w:before="0" w:after="0"/>
        <w:ind w:left="1600" w:right="0" w:hanging="576"/>
        <w:jc w:val="left"/>
        <w:rPr>
          <w:sz w:val="22"/>
        </w:rPr>
      </w:pPr>
      <w:r>
        <w:rPr>
          <w:sz w:val="22"/>
        </w:rPr>
        <w:t>When joint substrates are</w:t>
      </w:r>
      <w:r>
        <w:rPr>
          <w:spacing w:val="-6"/>
          <w:sz w:val="22"/>
        </w:rPr>
        <w:t> </w:t>
      </w:r>
      <w:r>
        <w:rPr>
          <w:sz w:val="22"/>
        </w:rPr>
        <w:t>wet.</w:t>
      </w:r>
    </w:p>
    <w:p>
      <w:pPr>
        <w:pStyle w:val="ListParagraph"/>
        <w:numPr>
          <w:ilvl w:val="3"/>
          <w:numId w:val="1"/>
        </w:numPr>
        <w:tabs>
          <w:tab w:pos="1600" w:val="left" w:leader="none"/>
          <w:tab w:pos="1601" w:val="left" w:leader="none"/>
        </w:tabs>
        <w:spacing w:line="240" w:lineRule="auto" w:before="1" w:after="0"/>
        <w:ind w:left="1600" w:right="116" w:hanging="576"/>
        <w:jc w:val="left"/>
        <w:rPr>
          <w:sz w:val="22"/>
        </w:rPr>
      </w:pPr>
      <w:r>
        <w:rPr>
          <w:sz w:val="22"/>
        </w:rPr>
        <w:t>Where joint widths are less than those allowed by joint-sealant manufacturer for applications</w:t>
      </w:r>
      <w:r>
        <w:rPr>
          <w:spacing w:val="-3"/>
          <w:sz w:val="22"/>
        </w:rPr>
        <w:t> </w:t>
      </w:r>
      <w:r>
        <w:rPr>
          <w:sz w:val="22"/>
        </w:rPr>
        <w:t>indicated.</w:t>
      </w:r>
    </w:p>
    <w:p>
      <w:pPr>
        <w:pStyle w:val="ListParagraph"/>
        <w:numPr>
          <w:ilvl w:val="3"/>
          <w:numId w:val="1"/>
        </w:numPr>
        <w:tabs>
          <w:tab w:pos="1600" w:val="left" w:leader="none"/>
          <w:tab w:pos="1601" w:val="left" w:leader="none"/>
        </w:tabs>
        <w:spacing w:line="240" w:lineRule="auto" w:before="1" w:after="0"/>
        <w:ind w:left="1600" w:right="121" w:hanging="576"/>
        <w:jc w:val="left"/>
        <w:rPr>
          <w:sz w:val="22"/>
        </w:rPr>
      </w:pPr>
      <w:r>
        <w:rPr>
          <w:sz w:val="22"/>
        </w:rPr>
        <w:t>Contaminants capable of interfering with adhesion have not yet been removed from joint substrates.</w:t>
      </w:r>
    </w:p>
    <w:p>
      <w:pPr>
        <w:pStyle w:val="BodyText"/>
        <w:ind w:firstLine="0"/>
        <w:rPr>
          <w:sz w:val="24"/>
        </w:rPr>
      </w:pPr>
    </w:p>
    <w:p>
      <w:pPr>
        <w:pStyle w:val="ListParagraph"/>
        <w:numPr>
          <w:ilvl w:val="1"/>
          <w:numId w:val="1"/>
        </w:numPr>
        <w:tabs>
          <w:tab w:pos="1024" w:val="left" w:leader="none"/>
          <w:tab w:pos="1025" w:val="left" w:leader="none"/>
        </w:tabs>
        <w:spacing w:line="240" w:lineRule="auto" w:before="202" w:after="0"/>
        <w:ind w:left="1024" w:right="0" w:hanging="864"/>
        <w:jc w:val="left"/>
        <w:rPr>
          <w:sz w:val="22"/>
        </w:rPr>
      </w:pPr>
      <w:r>
        <w:rPr>
          <w:sz w:val="22"/>
        </w:rPr>
        <w:t>WARRANTY</w:t>
      </w:r>
    </w:p>
    <w:p>
      <w:pPr>
        <w:pStyle w:val="BodyText"/>
        <w:ind w:firstLine="0"/>
        <w:rPr>
          <w:sz w:val="21"/>
        </w:rPr>
      </w:pPr>
    </w:p>
    <w:p>
      <w:pPr>
        <w:pStyle w:val="ListParagraph"/>
        <w:numPr>
          <w:ilvl w:val="2"/>
          <w:numId w:val="1"/>
        </w:numPr>
        <w:tabs>
          <w:tab w:pos="1025" w:val="left" w:leader="none"/>
        </w:tabs>
        <w:spacing w:line="240" w:lineRule="auto" w:before="0" w:after="0"/>
        <w:ind w:left="1024" w:right="114" w:hanging="576"/>
        <w:jc w:val="both"/>
        <w:rPr>
          <w:sz w:val="22"/>
        </w:rPr>
      </w:pPr>
      <w:r>
        <w:rPr>
          <w:sz w:val="22"/>
        </w:rPr>
        <w:t>Special Installer's Warranty: Installer's standard form in which Installer agrees to repair or replace elastomeric joint sealants that do not comply with performance and other requirements specified in this Section within specified warranty</w:t>
      </w:r>
      <w:r>
        <w:rPr>
          <w:spacing w:val="-10"/>
          <w:sz w:val="22"/>
        </w:rPr>
        <w:t> </w:t>
      </w:r>
      <w:r>
        <w:rPr>
          <w:sz w:val="22"/>
        </w:rPr>
        <w:t>period.</w:t>
      </w:r>
    </w:p>
    <w:p>
      <w:pPr>
        <w:pStyle w:val="BodyText"/>
        <w:spacing w:before="9"/>
        <w:ind w:firstLine="0"/>
        <w:rPr>
          <w:sz w:val="20"/>
        </w:rPr>
      </w:pPr>
    </w:p>
    <w:p>
      <w:pPr>
        <w:pStyle w:val="ListParagraph"/>
        <w:numPr>
          <w:ilvl w:val="3"/>
          <w:numId w:val="1"/>
        </w:numPr>
        <w:tabs>
          <w:tab w:pos="1600" w:val="left" w:leader="none"/>
          <w:tab w:pos="1601" w:val="left" w:leader="none"/>
        </w:tabs>
        <w:spacing w:line="240" w:lineRule="auto" w:before="1" w:after="0"/>
        <w:ind w:left="1600" w:right="0" w:hanging="576"/>
        <w:jc w:val="left"/>
        <w:rPr>
          <w:sz w:val="22"/>
        </w:rPr>
      </w:pPr>
      <w:r>
        <w:rPr>
          <w:sz w:val="22"/>
        </w:rPr>
        <w:t>Warranty Period: Two years from date of Substantial</w:t>
      </w:r>
      <w:r>
        <w:rPr>
          <w:spacing w:val="-15"/>
          <w:sz w:val="22"/>
        </w:rPr>
        <w:t> </w:t>
      </w:r>
      <w:r>
        <w:rPr>
          <w:sz w:val="22"/>
        </w:rPr>
        <w:t>Completion.</w:t>
      </w:r>
    </w:p>
    <w:p>
      <w:pPr>
        <w:pStyle w:val="BodyText"/>
        <w:spacing w:before="9"/>
        <w:ind w:firstLine="0"/>
        <w:rPr>
          <w:sz w:val="20"/>
        </w:rPr>
      </w:pPr>
    </w:p>
    <w:p>
      <w:pPr>
        <w:pStyle w:val="ListParagraph"/>
        <w:numPr>
          <w:ilvl w:val="2"/>
          <w:numId w:val="1"/>
        </w:numPr>
        <w:tabs>
          <w:tab w:pos="1025" w:val="left" w:leader="none"/>
        </w:tabs>
        <w:spacing w:line="240" w:lineRule="auto" w:before="0" w:after="0"/>
        <w:ind w:left="1024" w:right="116" w:hanging="576"/>
        <w:jc w:val="both"/>
        <w:rPr>
          <w:sz w:val="22"/>
        </w:rPr>
      </w:pPr>
      <w:r>
        <w:rPr>
          <w:sz w:val="22"/>
        </w:rPr>
        <w:t>Special Manufacturer's Warranty: Manufacturer's standard form in which elastomeric sealant manufacturer</w:t>
      </w:r>
      <w:r>
        <w:rPr>
          <w:spacing w:val="18"/>
          <w:sz w:val="22"/>
        </w:rPr>
        <w:t> </w:t>
      </w:r>
      <w:r>
        <w:rPr>
          <w:sz w:val="22"/>
        </w:rPr>
        <w:t>agrees</w:t>
      </w:r>
      <w:r>
        <w:rPr>
          <w:spacing w:val="18"/>
          <w:sz w:val="22"/>
        </w:rPr>
        <w:t> </w:t>
      </w:r>
      <w:r>
        <w:rPr>
          <w:sz w:val="22"/>
        </w:rPr>
        <w:t>to</w:t>
      </w:r>
      <w:r>
        <w:rPr>
          <w:spacing w:val="18"/>
          <w:sz w:val="22"/>
        </w:rPr>
        <w:t> </w:t>
      </w:r>
      <w:r>
        <w:rPr>
          <w:sz w:val="22"/>
        </w:rPr>
        <w:t>furnish</w:t>
      </w:r>
      <w:r>
        <w:rPr>
          <w:spacing w:val="18"/>
          <w:sz w:val="22"/>
        </w:rPr>
        <w:t> </w:t>
      </w:r>
      <w:r>
        <w:rPr>
          <w:sz w:val="22"/>
        </w:rPr>
        <w:t>elastomeric</w:t>
      </w:r>
      <w:r>
        <w:rPr>
          <w:spacing w:val="16"/>
          <w:sz w:val="22"/>
        </w:rPr>
        <w:t> </w:t>
      </w:r>
      <w:r>
        <w:rPr>
          <w:sz w:val="22"/>
        </w:rPr>
        <w:t>joint</w:t>
      </w:r>
      <w:r>
        <w:rPr>
          <w:spacing w:val="18"/>
          <w:sz w:val="22"/>
        </w:rPr>
        <w:t> </w:t>
      </w:r>
      <w:r>
        <w:rPr>
          <w:sz w:val="22"/>
        </w:rPr>
        <w:t>sealants</w:t>
      </w:r>
      <w:r>
        <w:rPr>
          <w:spacing w:val="18"/>
          <w:sz w:val="22"/>
        </w:rPr>
        <w:t> </w:t>
      </w:r>
      <w:r>
        <w:rPr>
          <w:sz w:val="22"/>
        </w:rPr>
        <w:t>to</w:t>
      </w:r>
      <w:r>
        <w:rPr>
          <w:spacing w:val="18"/>
          <w:sz w:val="22"/>
        </w:rPr>
        <w:t> </w:t>
      </w:r>
      <w:r>
        <w:rPr>
          <w:sz w:val="22"/>
        </w:rPr>
        <w:t>repair</w:t>
      </w:r>
      <w:r>
        <w:rPr>
          <w:spacing w:val="18"/>
          <w:sz w:val="22"/>
        </w:rPr>
        <w:t> </w:t>
      </w:r>
      <w:r>
        <w:rPr>
          <w:sz w:val="22"/>
        </w:rPr>
        <w:t>or</w:t>
      </w:r>
      <w:r>
        <w:rPr>
          <w:spacing w:val="18"/>
          <w:sz w:val="22"/>
        </w:rPr>
        <w:t> </w:t>
      </w:r>
      <w:r>
        <w:rPr>
          <w:sz w:val="22"/>
        </w:rPr>
        <w:t>replace</w:t>
      </w:r>
      <w:r>
        <w:rPr>
          <w:spacing w:val="18"/>
          <w:sz w:val="22"/>
        </w:rPr>
        <w:t> </w:t>
      </w:r>
      <w:r>
        <w:rPr>
          <w:sz w:val="22"/>
        </w:rPr>
        <w:t>those</w:t>
      </w:r>
      <w:r>
        <w:rPr>
          <w:spacing w:val="17"/>
          <w:sz w:val="22"/>
        </w:rPr>
        <w:t> </w:t>
      </w:r>
      <w:r>
        <w:rPr>
          <w:sz w:val="22"/>
        </w:rPr>
        <w:t>that</w:t>
      </w:r>
      <w:r>
        <w:rPr>
          <w:spacing w:val="19"/>
          <w:sz w:val="22"/>
        </w:rPr>
        <w:t> </w:t>
      </w:r>
      <w:r>
        <w:rPr>
          <w:sz w:val="22"/>
        </w:rPr>
        <w:t>do</w:t>
      </w:r>
      <w:r>
        <w:rPr>
          <w:spacing w:val="18"/>
          <w:sz w:val="22"/>
        </w:rPr>
        <w:t> </w:t>
      </w:r>
      <w:r>
        <w:rPr>
          <w:sz w:val="22"/>
        </w:rPr>
        <w:t>not</w:t>
      </w:r>
    </w:p>
    <w:p>
      <w:pPr>
        <w:spacing w:after="0" w:line="240" w:lineRule="auto"/>
        <w:jc w:val="both"/>
        <w:rPr>
          <w:sz w:val="22"/>
        </w:rPr>
        <w:sectPr>
          <w:pgSz w:w="12240" w:h="15840"/>
          <w:pgMar w:header="722" w:footer="768" w:top="1340" w:bottom="960" w:left="1280" w:right="1320"/>
        </w:sectPr>
      </w:pPr>
    </w:p>
    <w:p>
      <w:pPr>
        <w:pStyle w:val="BodyText"/>
        <w:spacing w:before="81"/>
        <w:ind w:left="1024" w:firstLine="0"/>
      </w:pPr>
      <w:r>
        <w:rPr/>
        <w:t>comply with performance and other requirements specified in this Section within specified warranty period.</w:t>
      </w:r>
    </w:p>
    <w:p>
      <w:pPr>
        <w:pStyle w:val="BodyText"/>
        <w:spacing w:before="11"/>
        <w:ind w:firstLine="0"/>
        <w:rPr>
          <w:sz w:val="20"/>
        </w:rPr>
      </w:pPr>
    </w:p>
    <w:p>
      <w:pPr>
        <w:pStyle w:val="ListParagraph"/>
        <w:numPr>
          <w:ilvl w:val="3"/>
          <w:numId w:val="1"/>
        </w:numPr>
        <w:tabs>
          <w:tab w:pos="1600" w:val="left" w:leader="none"/>
          <w:tab w:pos="1601" w:val="left" w:leader="none"/>
        </w:tabs>
        <w:spacing w:line="240" w:lineRule="auto" w:before="0" w:after="0"/>
        <w:ind w:left="1600" w:right="0" w:hanging="576"/>
        <w:jc w:val="left"/>
        <w:rPr>
          <w:sz w:val="22"/>
        </w:rPr>
      </w:pPr>
      <w:r>
        <w:rPr>
          <w:sz w:val="22"/>
        </w:rPr>
        <w:t>Warranty Period: Two years from date of Substantial</w:t>
      </w:r>
      <w:r>
        <w:rPr>
          <w:spacing w:val="-15"/>
          <w:sz w:val="22"/>
        </w:rPr>
        <w:t> </w:t>
      </w:r>
      <w:r>
        <w:rPr>
          <w:sz w:val="22"/>
        </w:rPr>
        <w:t>Completion.</w:t>
      </w:r>
    </w:p>
    <w:p>
      <w:pPr>
        <w:pStyle w:val="BodyText"/>
        <w:spacing w:before="9"/>
        <w:ind w:firstLine="0"/>
        <w:rPr>
          <w:sz w:val="20"/>
        </w:rPr>
      </w:pPr>
    </w:p>
    <w:p>
      <w:pPr>
        <w:pStyle w:val="ListParagraph"/>
        <w:numPr>
          <w:ilvl w:val="2"/>
          <w:numId w:val="1"/>
        </w:numPr>
        <w:tabs>
          <w:tab w:pos="1025" w:val="left" w:leader="none"/>
        </w:tabs>
        <w:spacing w:line="240" w:lineRule="auto" w:before="0" w:after="0"/>
        <w:ind w:left="1024" w:right="124" w:hanging="576"/>
        <w:jc w:val="both"/>
        <w:rPr>
          <w:sz w:val="22"/>
        </w:rPr>
      </w:pPr>
      <w:r>
        <w:rPr>
          <w:sz w:val="22"/>
        </w:rPr>
        <w:t>Special warranties specified in this Article exclude deterioration or failure of elastomeric joint sealants from the</w:t>
      </w:r>
      <w:r>
        <w:rPr>
          <w:spacing w:val="-5"/>
          <w:sz w:val="22"/>
        </w:rPr>
        <w:t> </w:t>
      </w:r>
      <w:r>
        <w:rPr>
          <w:sz w:val="22"/>
        </w:rPr>
        <w:t>following:</w:t>
      </w:r>
    </w:p>
    <w:p>
      <w:pPr>
        <w:pStyle w:val="BodyText"/>
        <w:spacing w:before="10"/>
        <w:ind w:firstLine="0"/>
        <w:rPr>
          <w:sz w:val="20"/>
        </w:rPr>
      </w:pPr>
    </w:p>
    <w:p>
      <w:pPr>
        <w:pStyle w:val="ListParagraph"/>
        <w:numPr>
          <w:ilvl w:val="3"/>
          <w:numId w:val="1"/>
        </w:numPr>
        <w:tabs>
          <w:tab w:pos="1601" w:val="left" w:leader="none"/>
        </w:tabs>
        <w:spacing w:line="240" w:lineRule="auto" w:before="0" w:after="0"/>
        <w:ind w:left="1600" w:right="119" w:hanging="576"/>
        <w:jc w:val="both"/>
        <w:rPr>
          <w:sz w:val="22"/>
        </w:rPr>
      </w:pPr>
      <w:r>
        <w:rPr>
          <w:sz w:val="22"/>
        </w:rPr>
        <w:t>Movement of the structure resulting in stresses on the sealant exceeding sealant manufacturer's written specifications for sealant elongation and compression caused by structural settlement or errors attributable to design or</w:t>
      </w:r>
      <w:r>
        <w:rPr>
          <w:spacing w:val="-7"/>
          <w:sz w:val="22"/>
        </w:rPr>
        <w:t> </w:t>
      </w:r>
      <w:r>
        <w:rPr>
          <w:sz w:val="22"/>
        </w:rPr>
        <w:t>construction.</w:t>
      </w:r>
    </w:p>
    <w:p>
      <w:pPr>
        <w:pStyle w:val="ListParagraph"/>
        <w:numPr>
          <w:ilvl w:val="3"/>
          <w:numId w:val="1"/>
        </w:numPr>
        <w:tabs>
          <w:tab w:pos="1600" w:val="left" w:leader="none"/>
          <w:tab w:pos="1601" w:val="left" w:leader="none"/>
        </w:tabs>
        <w:spacing w:line="252" w:lineRule="exact" w:before="0" w:after="0"/>
        <w:ind w:left="1600" w:right="0" w:hanging="576"/>
        <w:jc w:val="left"/>
        <w:rPr>
          <w:sz w:val="22"/>
        </w:rPr>
      </w:pPr>
      <w:r>
        <w:rPr>
          <w:sz w:val="22"/>
        </w:rPr>
        <w:t>Disintegration of joint substrates from natural causes exceeding design</w:t>
      </w:r>
      <w:r>
        <w:rPr>
          <w:spacing w:val="-18"/>
          <w:sz w:val="22"/>
        </w:rPr>
        <w:t> </w:t>
      </w:r>
      <w:r>
        <w:rPr>
          <w:sz w:val="22"/>
        </w:rPr>
        <w:t>specifications.</w:t>
      </w:r>
    </w:p>
    <w:p>
      <w:pPr>
        <w:pStyle w:val="ListParagraph"/>
        <w:numPr>
          <w:ilvl w:val="3"/>
          <w:numId w:val="1"/>
        </w:numPr>
        <w:tabs>
          <w:tab w:pos="1600" w:val="left" w:leader="none"/>
          <w:tab w:pos="1601" w:val="left" w:leader="none"/>
        </w:tabs>
        <w:spacing w:line="252" w:lineRule="exact" w:before="2" w:after="0"/>
        <w:ind w:left="1600" w:right="0" w:hanging="576"/>
        <w:jc w:val="left"/>
        <w:rPr>
          <w:sz w:val="22"/>
        </w:rPr>
      </w:pPr>
      <w:r>
        <w:rPr>
          <w:sz w:val="22"/>
        </w:rPr>
        <w:t>Mechanical damage caused by individuals, tools, or other outside</w:t>
      </w:r>
      <w:r>
        <w:rPr>
          <w:spacing w:val="-13"/>
          <w:sz w:val="22"/>
        </w:rPr>
        <w:t> </w:t>
      </w:r>
      <w:r>
        <w:rPr>
          <w:sz w:val="22"/>
        </w:rPr>
        <w:t>agents.</w:t>
      </w:r>
    </w:p>
    <w:p>
      <w:pPr>
        <w:pStyle w:val="ListParagraph"/>
        <w:numPr>
          <w:ilvl w:val="3"/>
          <w:numId w:val="1"/>
        </w:numPr>
        <w:tabs>
          <w:tab w:pos="1600" w:val="left" w:leader="none"/>
          <w:tab w:pos="1601" w:val="left" w:leader="none"/>
        </w:tabs>
        <w:spacing w:line="240" w:lineRule="auto" w:before="0" w:after="0"/>
        <w:ind w:left="1600" w:right="122" w:hanging="576"/>
        <w:jc w:val="left"/>
        <w:rPr>
          <w:sz w:val="22"/>
        </w:rPr>
      </w:pPr>
      <w:r>
        <w:rPr>
          <w:sz w:val="22"/>
        </w:rPr>
        <w:t>Changes in sealant appearance caused by accumulation of dirt or other atmospheric contaminants.</w:t>
      </w:r>
    </w:p>
    <w:p>
      <w:pPr>
        <w:pStyle w:val="BodyText"/>
        <w:ind w:firstLine="0"/>
        <w:rPr>
          <w:sz w:val="24"/>
        </w:rPr>
      </w:pPr>
    </w:p>
    <w:p>
      <w:pPr>
        <w:pStyle w:val="BodyText"/>
        <w:spacing w:before="204"/>
        <w:ind w:left="160" w:firstLine="0"/>
      </w:pPr>
      <w:r>
        <w:rPr/>
        <w:t>PART 2 - PRODUCTS</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3" w:after="0"/>
        <w:ind w:left="1024" w:right="0" w:hanging="864"/>
        <w:jc w:val="left"/>
        <w:rPr>
          <w:sz w:val="22"/>
        </w:rPr>
      </w:pPr>
      <w:r>
        <w:rPr>
          <w:sz w:val="22"/>
        </w:rPr>
        <w:t>MANUFACTURERS</w:t>
      </w:r>
    </w:p>
    <w:p>
      <w:pPr>
        <w:pStyle w:val="BodyText"/>
        <w:ind w:firstLine="0"/>
        <w:rPr>
          <w:sz w:val="21"/>
        </w:rPr>
      </w:pPr>
    </w:p>
    <w:p>
      <w:pPr>
        <w:pStyle w:val="ListParagraph"/>
        <w:numPr>
          <w:ilvl w:val="2"/>
          <w:numId w:val="2"/>
        </w:numPr>
        <w:tabs>
          <w:tab w:pos="1025" w:val="left" w:leader="none"/>
        </w:tabs>
        <w:spacing w:line="240" w:lineRule="auto" w:before="0" w:after="0"/>
        <w:ind w:left="1024" w:right="121" w:hanging="576"/>
        <w:jc w:val="both"/>
        <w:rPr>
          <w:sz w:val="22"/>
        </w:rPr>
      </w:pPr>
      <w:r>
        <w:rPr>
          <w:sz w:val="22"/>
        </w:rPr>
        <w:t>Products: Subject to compliance with requirements, provide one of the products listed in other Part 2</w:t>
      </w:r>
      <w:r>
        <w:rPr>
          <w:spacing w:val="-2"/>
          <w:sz w:val="22"/>
        </w:rPr>
        <w:t> </w:t>
      </w:r>
      <w:r>
        <w:rPr>
          <w:sz w:val="22"/>
        </w:rPr>
        <w:t>articles.</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5" w:after="0"/>
        <w:ind w:left="1024" w:right="0" w:hanging="864"/>
        <w:jc w:val="left"/>
        <w:rPr>
          <w:sz w:val="22"/>
        </w:rPr>
      </w:pPr>
      <w:r>
        <w:rPr>
          <w:sz w:val="22"/>
        </w:rPr>
        <w:t>MATERIALS,</w:t>
      </w:r>
      <w:r>
        <w:rPr>
          <w:spacing w:val="-1"/>
          <w:sz w:val="22"/>
        </w:rPr>
        <w:t> </w:t>
      </w:r>
      <w:r>
        <w:rPr>
          <w:sz w:val="22"/>
        </w:rPr>
        <w:t>GENERAL</w:t>
      </w:r>
    </w:p>
    <w:p>
      <w:pPr>
        <w:pStyle w:val="BodyText"/>
        <w:spacing w:before="9"/>
        <w:ind w:firstLine="0"/>
        <w:rPr>
          <w:sz w:val="20"/>
        </w:rPr>
      </w:pPr>
    </w:p>
    <w:p>
      <w:pPr>
        <w:pStyle w:val="ListParagraph"/>
        <w:numPr>
          <w:ilvl w:val="2"/>
          <w:numId w:val="2"/>
        </w:numPr>
        <w:tabs>
          <w:tab w:pos="1025" w:val="left" w:leader="none"/>
        </w:tabs>
        <w:spacing w:line="240" w:lineRule="auto" w:before="0" w:after="0"/>
        <w:ind w:left="1024" w:right="117" w:hanging="576"/>
        <w:jc w:val="both"/>
        <w:rPr>
          <w:sz w:val="22"/>
        </w:rPr>
      </w:pPr>
      <w:r>
        <w:rPr>
          <w:sz w:val="22"/>
        </w:rPr>
        <w:t>Compatibility: Provide joint sealants, backings, and other related materials that are compatible with one another and with joint substrates under conditions of service and application, as demonstrated by sealant manufacturer, based on testing and field</w:t>
      </w:r>
      <w:r>
        <w:rPr>
          <w:spacing w:val="-11"/>
          <w:sz w:val="22"/>
        </w:rPr>
        <w:t> </w:t>
      </w:r>
      <w:r>
        <w:rPr>
          <w:sz w:val="22"/>
        </w:rPr>
        <w:t>experience.</w:t>
      </w:r>
    </w:p>
    <w:p>
      <w:pPr>
        <w:pStyle w:val="BodyText"/>
        <w:spacing w:before="10"/>
        <w:ind w:firstLine="0"/>
        <w:rPr>
          <w:sz w:val="20"/>
        </w:rPr>
      </w:pPr>
    </w:p>
    <w:p>
      <w:pPr>
        <w:pStyle w:val="ListParagraph"/>
        <w:numPr>
          <w:ilvl w:val="2"/>
          <w:numId w:val="2"/>
        </w:numPr>
        <w:tabs>
          <w:tab w:pos="1025" w:val="left" w:leader="none"/>
        </w:tabs>
        <w:spacing w:line="240" w:lineRule="auto" w:before="0" w:after="0"/>
        <w:ind w:left="1024" w:right="112" w:hanging="576"/>
        <w:jc w:val="both"/>
        <w:rPr>
          <w:sz w:val="22"/>
        </w:rPr>
      </w:pPr>
      <w:r>
        <w:rPr>
          <w:sz w:val="22"/>
        </w:rPr>
        <w:t>VOC Content of Interior Sealants: Provide interior sealants and sealant primers that comply with the following limits for VOC content when calculated according to 40 CFR 59, Subpart D (EPA Method</w:t>
      </w:r>
      <w:r>
        <w:rPr>
          <w:spacing w:val="-2"/>
          <w:sz w:val="22"/>
        </w:rPr>
        <w:t> </w:t>
      </w:r>
      <w:r>
        <w:rPr>
          <w:sz w:val="22"/>
        </w:rPr>
        <w:t>24):</w:t>
      </w:r>
    </w:p>
    <w:p>
      <w:pPr>
        <w:pStyle w:val="BodyText"/>
        <w:spacing w:before="9"/>
        <w:ind w:firstLine="0"/>
        <w:rPr>
          <w:sz w:val="20"/>
        </w:rPr>
      </w:pP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Sealants: 250 g/L.</w:t>
      </w:r>
    </w:p>
    <w:p>
      <w:pPr>
        <w:pStyle w:val="ListParagraph"/>
        <w:numPr>
          <w:ilvl w:val="3"/>
          <w:numId w:val="2"/>
        </w:numPr>
        <w:tabs>
          <w:tab w:pos="1600" w:val="left" w:leader="none"/>
          <w:tab w:pos="1601" w:val="left" w:leader="none"/>
        </w:tabs>
        <w:spacing w:line="252" w:lineRule="exact" w:before="2" w:after="0"/>
        <w:ind w:left="1600" w:right="0" w:hanging="576"/>
        <w:jc w:val="left"/>
        <w:rPr>
          <w:sz w:val="22"/>
        </w:rPr>
      </w:pPr>
      <w:r>
        <w:rPr>
          <w:sz w:val="22"/>
        </w:rPr>
        <w:t>Sealant Primers for Nonporous Substrates: 250</w:t>
      </w:r>
      <w:r>
        <w:rPr>
          <w:spacing w:val="-4"/>
          <w:sz w:val="22"/>
        </w:rPr>
        <w:t> </w:t>
      </w:r>
      <w:r>
        <w:rPr>
          <w:sz w:val="22"/>
        </w:rPr>
        <w:t>g/L.</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Sealant Primers for Porous Substrates: 775</w:t>
      </w:r>
      <w:r>
        <w:rPr>
          <w:spacing w:val="-3"/>
          <w:sz w:val="22"/>
        </w:rPr>
        <w:t> </w:t>
      </w:r>
      <w:r>
        <w:rPr>
          <w:sz w:val="22"/>
        </w:rPr>
        <w:t>g/L.</w:t>
      </w:r>
    </w:p>
    <w:p>
      <w:pPr>
        <w:pStyle w:val="BodyText"/>
        <w:spacing w:before="11"/>
        <w:ind w:firstLine="0"/>
        <w:rPr>
          <w:sz w:val="20"/>
        </w:rPr>
      </w:pPr>
    </w:p>
    <w:p>
      <w:pPr>
        <w:pStyle w:val="ListParagraph"/>
        <w:numPr>
          <w:ilvl w:val="2"/>
          <w:numId w:val="2"/>
        </w:numPr>
        <w:tabs>
          <w:tab w:pos="1024" w:val="left" w:leader="none"/>
          <w:tab w:pos="1025" w:val="left" w:leader="none"/>
        </w:tabs>
        <w:spacing w:line="240" w:lineRule="auto" w:before="0" w:after="0"/>
        <w:ind w:left="1024" w:right="0" w:hanging="576"/>
        <w:jc w:val="left"/>
        <w:rPr>
          <w:sz w:val="22"/>
        </w:rPr>
      </w:pPr>
      <w:r>
        <w:rPr>
          <w:sz w:val="22"/>
        </w:rPr>
        <w:t>Colors of Exposed Joint Sealants: As selected by Architect from manufacturer's full</w:t>
      </w:r>
      <w:r>
        <w:rPr>
          <w:spacing w:val="-19"/>
          <w:sz w:val="22"/>
        </w:rPr>
        <w:t> </w:t>
      </w:r>
      <w:r>
        <w:rPr>
          <w:sz w:val="22"/>
        </w:rPr>
        <w:t>range.</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4" w:after="0"/>
        <w:ind w:left="1024" w:right="0" w:hanging="864"/>
        <w:jc w:val="left"/>
        <w:rPr>
          <w:sz w:val="22"/>
        </w:rPr>
      </w:pPr>
      <w:r>
        <w:rPr>
          <w:sz w:val="22"/>
        </w:rPr>
        <w:t>ELASTOMERIC JOINT</w:t>
      </w:r>
      <w:r>
        <w:rPr>
          <w:spacing w:val="-1"/>
          <w:sz w:val="22"/>
        </w:rPr>
        <w:t> </w:t>
      </w:r>
      <w:r>
        <w:rPr>
          <w:sz w:val="22"/>
        </w:rPr>
        <w:t>SEALANTS</w:t>
      </w:r>
    </w:p>
    <w:p>
      <w:pPr>
        <w:pStyle w:val="BodyText"/>
        <w:spacing w:before="9"/>
        <w:ind w:firstLine="0"/>
        <w:rPr>
          <w:sz w:val="20"/>
        </w:rPr>
      </w:pPr>
    </w:p>
    <w:p>
      <w:pPr>
        <w:pStyle w:val="ListParagraph"/>
        <w:numPr>
          <w:ilvl w:val="2"/>
          <w:numId w:val="2"/>
        </w:numPr>
        <w:tabs>
          <w:tab w:pos="1025" w:val="left" w:leader="none"/>
        </w:tabs>
        <w:spacing w:line="240" w:lineRule="auto" w:before="0" w:after="0"/>
        <w:ind w:left="1024" w:right="113" w:hanging="576"/>
        <w:jc w:val="both"/>
        <w:rPr>
          <w:sz w:val="22"/>
        </w:rPr>
      </w:pPr>
      <w:r>
        <w:rPr>
          <w:sz w:val="22"/>
        </w:rPr>
        <w:t>Elastomeric Sealants: Comply with ASTM C 920 and other requirements indicated for each liquid-applied chemically curing sealant specified, including those referencing ASTM C 920 classifications for type, grade, class, and uses related to exposure and joint</w:t>
      </w:r>
      <w:r>
        <w:rPr>
          <w:spacing w:val="-13"/>
          <w:sz w:val="22"/>
        </w:rPr>
        <w:t> </w:t>
      </w:r>
      <w:r>
        <w:rPr>
          <w:sz w:val="22"/>
        </w:rPr>
        <w:t>substrates.</w:t>
      </w:r>
    </w:p>
    <w:p>
      <w:pPr>
        <w:pStyle w:val="BodyText"/>
        <w:ind w:firstLine="0"/>
        <w:rPr>
          <w:sz w:val="21"/>
        </w:rPr>
      </w:pPr>
    </w:p>
    <w:p>
      <w:pPr>
        <w:pStyle w:val="ListParagraph"/>
        <w:numPr>
          <w:ilvl w:val="2"/>
          <w:numId w:val="2"/>
        </w:numPr>
        <w:tabs>
          <w:tab w:pos="1025" w:val="left" w:leader="none"/>
        </w:tabs>
        <w:spacing w:line="240" w:lineRule="auto" w:before="0" w:after="0"/>
        <w:ind w:left="1024" w:right="116" w:hanging="576"/>
        <w:jc w:val="both"/>
        <w:rPr>
          <w:sz w:val="22"/>
        </w:rPr>
      </w:pPr>
      <w:r>
        <w:rPr>
          <w:sz w:val="22"/>
        </w:rPr>
        <w:t>Stain-Test-Response Characteristics: Where elastomeric sealants are specified to be  nonstaining to porous substrates, provide products that have undergone testing according to ASTM C 1248 and have not stained porous joint substrates indicated for</w:t>
      </w:r>
      <w:r>
        <w:rPr>
          <w:spacing w:val="-11"/>
          <w:sz w:val="22"/>
        </w:rPr>
        <w:t> </w:t>
      </w:r>
      <w:r>
        <w:rPr>
          <w:sz w:val="22"/>
        </w:rPr>
        <w:t>Project.</w:t>
      </w:r>
    </w:p>
    <w:p>
      <w:pPr>
        <w:spacing w:after="0" w:line="240" w:lineRule="auto"/>
        <w:jc w:val="both"/>
        <w:rPr>
          <w:sz w:val="22"/>
        </w:rPr>
        <w:sectPr>
          <w:pgSz w:w="12240" w:h="15840"/>
          <w:pgMar w:header="722" w:footer="768" w:top="1340" w:bottom="960" w:left="1280" w:right="1320"/>
        </w:sectPr>
      </w:pPr>
    </w:p>
    <w:p>
      <w:pPr>
        <w:pStyle w:val="ListParagraph"/>
        <w:numPr>
          <w:ilvl w:val="2"/>
          <w:numId w:val="2"/>
        </w:numPr>
        <w:tabs>
          <w:tab w:pos="1025" w:val="left" w:leader="none"/>
        </w:tabs>
        <w:spacing w:line="240" w:lineRule="auto" w:before="81" w:after="0"/>
        <w:ind w:left="1024" w:right="115" w:hanging="576"/>
        <w:jc w:val="both"/>
        <w:rPr>
          <w:sz w:val="22"/>
        </w:rPr>
      </w:pPr>
      <w:r>
        <w:rPr>
          <w:sz w:val="22"/>
        </w:rPr>
        <w:t>Suitability for Immersion in Liquids. Where elastomeric sealants are indicated for Use I for joints that will be continuously immersed in liquids, provide products that have undergone testing according to ASTM C 1247 and qualify for the length of exposure indicated by reference to ASTM C 920 for Class 1 or 2. Liquid used for testing sealants is deionized water, unless otherwise</w:t>
      </w:r>
      <w:r>
        <w:rPr>
          <w:spacing w:val="-1"/>
          <w:sz w:val="22"/>
        </w:rPr>
        <w:t> </w:t>
      </w:r>
      <w:r>
        <w:rPr>
          <w:sz w:val="22"/>
        </w:rPr>
        <w:t>indicated.</w:t>
      </w:r>
    </w:p>
    <w:p>
      <w:pPr>
        <w:pStyle w:val="BodyText"/>
        <w:spacing w:before="10"/>
        <w:ind w:firstLine="0"/>
        <w:rPr>
          <w:sz w:val="20"/>
        </w:rPr>
      </w:pPr>
    </w:p>
    <w:p>
      <w:pPr>
        <w:pStyle w:val="ListParagraph"/>
        <w:numPr>
          <w:ilvl w:val="2"/>
          <w:numId w:val="2"/>
        </w:numPr>
        <w:tabs>
          <w:tab w:pos="1025" w:val="left" w:leader="none"/>
        </w:tabs>
        <w:spacing w:line="240" w:lineRule="auto" w:before="0" w:after="0"/>
        <w:ind w:left="1024" w:right="124" w:hanging="576"/>
        <w:jc w:val="both"/>
        <w:rPr>
          <w:sz w:val="22"/>
        </w:rPr>
      </w:pPr>
      <w:r>
        <w:rPr>
          <w:sz w:val="22"/>
        </w:rPr>
        <w:t>Suitability for Contact with Food: Where elastomeric sealants are indicated for joints that will come in repeated contact with food, provide products that comply with 21 CFR</w:t>
      </w:r>
      <w:r>
        <w:rPr>
          <w:spacing w:val="-12"/>
          <w:sz w:val="22"/>
        </w:rPr>
        <w:t> </w:t>
      </w:r>
      <w:r>
        <w:rPr>
          <w:sz w:val="22"/>
        </w:rPr>
        <w:t>177.2600</w:t>
      </w:r>
    </w:p>
    <w:p>
      <w:pPr>
        <w:pStyle w:val="BodyText"/>
        <w:ind w:firstLine="0"/>
        <w:rPr>
          <w:sz w:val="13"/>
        </w:rPr>
      </w:pPr>
    </w:p>
    <w:p>
      <w:pPr>
        <w:pStyle w:val="ListParagraph"/>
        <w:numPr>
          <w:ilvl w:val="2"/>
          <w:numId w:val="2"/>
        </w:numPr>
        <w:tabs>
          <w:tab w:pos="1024" w:val="left" w:leader="none"/>
          <w:tab w:pos="1025" w:val="left" w:leader="none"/>
        </w:tabs>
        <w:spacing w:line="240" w:lineRule="auto" w:before="91" w:after="0"/>
        <w:ind w:left="1024" w:right="0" w:hanging="576"/>
        <w:jc w:val="left"/>
        <w:rPr>
          <w:sz w:val="22"/>
        </w:rPr>
      </w:pPr>
      <w:r>
        <w:rPr>
          <w:sz w:val="22"/>
          <w:shd w:fill="C0C0C0" w:color="auto" w:val="clear"/>
        </w:rPr>
        <w:t>Single-Component Non-sag Polyether Sealant ES-A </w:t>
      </w:r>
      <w:r>
        <w:rPr>
          <w:b/>
          <w:sz w:val="22"/>
          <w:shd w:fill="C0C0C0" w:color="auto" w:val="clear"/>
        </w:rPr>
        <w:t>(Very Low VOC [less than</w:t>
      </w:r>
      <w:r>
        <w:rPr>
          <w:b/>
          <w:spacing w:val="-8"/>
          <w:sz w:val="22"/>
          <w:shd w:fill="C0C0C0" w:color="auto" w:val="clear"/>
        </w:rPr>
        <w:t> </w:t>
      </w:r>
      <w:r>
        <w:rPr>
          <w:b/>
          <w:sz w:val="22"/>
          <w:shd w:fill="C0C0C0" w:color="auto" w:val="clear"/>
        </w:rPr>
        <w:t>2%])</w:t>
      </w:r>
      <w:r>
        <w:rPr>
          <w:sz w:val="22"/>
          <w:shd w:fill="C0C0C0" w:color="auto" w:val="clear"/>
        </w:rPr>
        <w:t>:</w:t>
      </w:r>
    </w:p>
    <w:p>
      <w:pPr>
        <w:pStyle w:val="BodyText"/>
        <w:spacing w:before="3"/>
        <w:ind w:firstLine="0"/>
        <w:rPr>
          <w:sz w:val="19"/>
        </w:rPr>
      </w:pPr>
      <w:r>
        <w:rPr/>
        <w:pict>
          <v:shape style="position:absolute;margin-left:115.220001pt;margin-top:12.293096pt;width:259.6500pt;height:12.75pt;mso-position-horizontal-relative:page;mso-position-vertical-relative:paragraph;z-index:-1024;mso-wrap-distance-left:0;mso-wrap-distance-right:0" type="#_x0000_t202" filled="true" fillcolor="#c0c0c0" stroked="false">
            <v:textbox inset="0,0,0,0">
              <w:txbxContent>
                <w:p>
                  <w:pPr>
                    <w:tabs>
                      <w:tab w:pos="575" w:val="left" w:leader="none"/>
                    </w:tabs>
                    <w:spacing w:line="247" w:lineRule="exact" w:before="0"/>
                    <w:ind w:left="0" w:right="0" w:firstLine="0"/>
                    <w:jc w:val="left"/>
                    <w:rPr>
                      <w:b/>
                      <w:sz w:val="22"/>
                    </w:rPr>
                  </w:pPr>
                  <w:r>
                    <w:rPr>
                      <w:sz w:val="22"/>
                    </w:rPr>
                    <w:t>1.</w:t>
                    <w:tab/>
                    <w:t>Available Products </w:t>
                  </w:r>
                  <w:r>
                    <w:rPr>
                      <w:b/>
                      <w:sz w:val="22"/>
                      <w:u w:val="thick"/>
                    </w:rPr>
                    <w:t>Very Low VOC (less than</w:t>
                  </w:r>
                  <w:r>
                    <w:rPr>
                      <w:b/>
                      <w:spacing w:val="-11"/>
                      <w:sz w:val="22"/>
                      <w:u w:val="thick"/>
                    </w:rPr>
                    <w:t> </w:t>
                  </w:r>
                  <w:r>
                    <w:rPr>
                      <w:b/>
                      <w:sz w:val="22"/>
                      <w:u w:val="thick"/>
                    </w:rPr>
                    <w:t>2%)</w:t>
                  </w:r>
                </w:p>
              </w:txbxContent>
            </v:textbox>
            <v:fill type="solid"/>
            <w10:wrap type="topAndBottom"/>
          </v:shape>
        </w:pict>
      </w:r>
      <w:r>
        <w:rPr/>
        <w:pict>
          <v:group style="position:absolute;margin-left:144.020004pt;margin-top:37.013096pt;width:250.4pt;height:25.2pt;mso-position-horizontal-relative:page;mso-position-vertical-relative:paragraph;z-index:-952;mso-wrap-distance-left:0;mso-wrap-distance-right:0" coordorigin="2880,740" coordsize="5008,504">
            <v:rect style="position:absolute;left:2880;top:740;width:4989;height:252" filled="true" fillcolor="#c0c0c0" stroked="false">
              <v:fill type="solid"/>
            </v:rect>
            <v:rect style="position:absolute;left:2880;top:992;width:4715;height:252" filled="true" fillcolor="#c0c0c0" stroked="false">
              <v:fill type="solid"/>
            </v:rect>
            <v:shape style="position:absolute;left:3456;top:742;width:4432;height:497" type="#_x0000_t202" filled="false" stroked="false">
              <v:textbox inset="0,0,0,0">
                <w:txbxContent>
                  <w:p>
                    <w:pPr>
                      <w:spacing w:line="240" w:lineRule="auto" w:before="0"/>
                      <w:ind w:left="0" w:right="0" w:firstLine="0"/>
                      <w:jc w:val="left"/>
                      <w:rPr>
                        <w:sz w:val="22"/>
                      </w:rPr>
                    </w:pPr>
                    <w:r>
                      <w:rPr>
                        <w:sz w:val="22"/>
                      </w:rPr>
                      <w:t>STS Coatings, GreatSeal PE-.150 (830-995-5177) Sonneborn, Division of BASF: Sonolastic 150.</w:t>
                    </w:r>
                  </w:p>
                </w:txbxContent>
              </v:textbox>
              <w10:wrap type="none"/>
            </v:shape>
            <v:shape style="position:absolute;left:2880;top:742;width:186;height:497" type="#_x0000_t202" filled="false" stroked="false">
              <v:textbox inset="0,0,0,0">
                <w:txbxContent>
                  <w:p>
                    <w:pPr>
                      <w:spacing w:line="244" w:lineRule="exact" w:before="0"/>
                      <w:ind w:left="0" w:right="0" w:firstLine="0"/>
                      <w:jc w:val="left"/>
                      <w:rPr>
                        <w:sz w:val="22"/>
                      </w:rPr>
                    </w:pPr>
                    <w:r>
                      <w:rPr>
                        <w:sz w:val="22"/>
                      </w:rPr>
                      <w:t>a.</w:t>
                    </w:r>
                  </w:p>
                  <w:p>
                    <w:pPr>
                      <w:spacing w:line="252" w:lineRule="exact" w:before="0"/>
                      <w:ind w:left="0" w:right="0" w:firstLine="0"/>
                      <w:jc w:val="left"/>
                      <w:rPr>
                        <w:sz w:val="22"/>
                      </w:rPr>
                    </w:pPr>
                    <w:r>
                      <w:rPr>
                        <w:sz w:val="22"/>
                      </w:rPr>
                      <w:t>b.</w:t>
                    </w:r>
                  </w:p>
                </w:txbxContent>
              </v:textbox>
              <w10:wrap type="none"/>
            </v:shape>
            <w10:wrap type="topAndBottom"/>
          </v:group>
        </w:pict>
      </w:r>
      <w:r>
        <w:rPr/>
        <w:pict>
          <v:group style="position:absolute;margin-left:115.220001pt;margin-top:74.243095pt;width:425.55pt;height:50.65pt;mso-position-horizontal-relative:page;mso-position-vertical-relative:paragraph;z-index:-736;mso-wrap-distance-left:0;mso-wrap-distance-right:0" coordorigin="2304,1485" coordsize="8511,1013">
            <v:rect style="position:absolute;left:2304;top:1484;width:5637;height:255" filled="true" fillcolor="#c0c0c0" stroked="false">
              <v:fill type="solid"/>
            </v:rect>
            <v:rect style="position:absolute;left:2304;top:1739;width:1500;height:252" filled="true" fillcolor="#c0c0c0" stroked="false">
              <v:fill type="solid"/>
            </v:rect>
            <v:rect style="position:absolute;left:2304;top:1991;width:4348;height:255" filled="true" fillcolor="#c0c0c0" stroked="false">
              <v:fill type="solid"/>
            </v:rect>
            <v:rect style="position:absolute;left:2304;top:2245;width:8498;height:252" filled="true" fillcolor="#c0c0c0" stroked="false">
              <v:fill type="solid"/>
            </v:rect>
            <v:shape style="position:absolute;left:2880;top:2248;width:7935;height:245" type="#_x0000_t202" filled="false" stroked="false">
              <v:textbox inset="0,0,0,0">
                <w:txbxContent>
                  <w:p>
                    <w:pPr>
                      <w:tabs>
                        <w:tab w:pos="3380" w:val="left" w:leader="none"/>
                      </w:tabs>
                      <w:spacing w:line="244" w:lineRule="exact" w:before="0"/>
                      <w:ind w:left="0" w:right="0" w:firstLine="0"/>
                      <w:jc w:val="left"/>
                      <w:rPr>
                        <w:sz w:val="22"/>
                      </w:rPr>
                    </w:pPr>
                    <w:r>
                      <w:rPr>
                        <w:sz w:val="22"/>
                      </w:rPr>
                      <w:t>Uses  Related  to </w:t>
                    </w:r>
                    <w:r>
                      <w:rPr>
                        <w:spacing w:val="19"/>
                        <w:sz w:val="22"/>
                      </w:rPr>
                      <w:t> </w:t>
                    </w:r>
                    <w:r>
                      <w:rPr>
                        <w:sz w:val="22"/>
                      </w:rPr>
                      <w:t>Joint </w:t>
                    </w:r>
                    <w:r>
                      <w:rPr>
                        <w:spacing w:val="9"/>
                        <w:sz w:val="22"/>
                      </w:rPr>
                      <w:t> </w:t>
                    </w:r>
                    <w:r>
                      <w:rPr>
                        <w:sz w:val="22"/>
                      </w:rPr>
                      <w:t>Substrates:</w:t>
                      <w:tab/>
                      <w:t>M, G, A, and, as applicable to joint</w:t>
                    </w:r>
                    <w:r>
                      <w:rPr>
                        <w:spacing w:val="4"/>
                        <w:sz w:val="22"/>
                      </w:rPr>
                      <w:t> </w:t>
                    </w:r>
                    <w:r>
                      <w:rPr>
                        <w:sz w:val="22"/>
                      </w:rPr>
                      <w:t>substrates</w:t>
                    </w:r>
                  </w:p>
                </w:txbxContent>
              </v:textbox>
              <w10:wrap type="none"/>
            </v:shape>
            <v:shape style="position:absolute;left:2304;top:2248;width:186;height:245" type="#_x0000_t202" filled="false" stroked="false">
              <v:textbox inset="0,0,0,0">
                <w:txbxContent>
                  <w:p>
                    <w:pPr>
                      <w:spacing w:line="244" w:lineRule="exact" w:before="0"/>
                      <w:ind w:left="0" w:right="0" w:firstLine="0"/>
                      <w:jc w:val="left"/>
                      <w:rPr>
                        <w:sz w:val="22"/>
                      </w:rPr>
                    </w:pPr>
                    <w:r>
                      <w:rPr>
                        <w:sz w:val="22"/>
                      </w:rPr>
                      <w:t>5.</w:t>
                    </w:r>
                  </w:p>
                </w:txbxContent>
              </v:textbox>
              <w10:wrap type="none"/>
            </v:shape>
            <v:shape style="position:absolute;left:2880;top:1993;width:3791;height:245" type="#_x0000_t202" filled="false" stroked="false">
              <v:textbox inset="0,0,0,0">
                <w:txbxContent>
                  <w:p>
                    <w:pPr>
                      <w:spacing w:line="244" w:lineRule="exact" w:before="0"/>
                      <w:ind w:left="0" w:right="0" w:firstLine="0"/>
                      <w:jc w:val="left"/>
                      <w:rPr>
                        <w:sz w:val="22"/>
                      </w:rPr>
                    </w:pPr>
                    <w:r>
                      <w:rPr>
                        <w:sz w:val="22"/>
                      </w:rPr>
                      <w:t>Use Related to Exposure: NT (nontraffic).</w:t>
                    </w:r>
                  </w:p>
                </w:txbxContent>
              </v:textbox>
              <w10:wrap type="none"/>
            </v:shape>
            <v:shape style="position:absolute;left:2304;top:1993;width:186;height:245" type="#_x0000_t202" filled="false" stroked="false">
              <v:textbox inset="0,0,0,0">
                <w:txbxContent>
                  <w:p>
                    <w:pPr>
                      <w:spacing w:line="244" w:lineRule="exact" w:before="0"/>
                      <w:ind w:left="0" w:right="0" w:firstLine="0"/>
                      <w:jc w:val="left"/>
                      <w:rPr>
                        <w:sz w:val="22"/>
                      </w:rPr>
                    </w:pPr>
                    <w:r>
                      <w:rPr>
                        <w:sz w:val="22"/>
                      </w:rPr>
                      <w:t>4.</w:t>
                    </w:r>
                  </w:p>
                </w:txbxContent>
              </v:textbox>
              <w10:wrap type="none"/>
            </v:shape>
            <v:shape style="position:absolute;left:2880;top:1741;width:946;height:245" type="#_x0000_t202" filled="false" stroked="false">
              <v:textbox inset="0,0,0,0">
                <w:txbxContent>
                  <w:p>
                    <w:pPr>
                      <w:spacing w:line="244" w:lineRule="exact" w:before="0"/>
                      <w:ind w:left="0" w:right="0" w:firstLine="0"/>
                      <w:jc w:val="left"/>
                      <w:rPr>
                        <w:sz w:val="22"/>
                      </w:rPr>
                    </w:pPr>
                    <w:r>
                      <w:rPr>
                        <w:sz w:val="22"/>
                      </w:rPr>
                      <w:t>Class: 25.</w:t>
                    </w:r>
                  </w:p>
                </w:txbxContent>
              </v:textbox>
              <w10:wrap type="none"/>
            </v:shape>
            <v:shape style="position:absolute;left:2304;top:1741;width:186;height:245" type="#_x0000_t202" filled="false" stroked="false">
              <v:textbox inset="0,0,0,0">
                <w:txbxContent>
                  <w:p>
                    <w:pPr>
                      <w:spacing w:line="244" w:lineRule="exact" w:before="0"/>
                      <w:ind w:left="0" w:right="0" w:firstLine="0"/>
                      <w:jc w:val="left"/>
                      <w:rPr>
                        <w:sz w:val="22"/>
                      </w:rPr>
                    </w:pPr>
                    <w:r>
                      <w:rPr>
                        <w:sz w:val="22"/>
                      </w:rPr>
                      <w:t>3.</w:t>
                    </w:r>
                  </w:p>
                </w:txbxContent>
              </v:textbox>
              <w10:wrap type="none"/>
            </v:shape>
            <v:shape style="position:absolute;left:2880;top:1487;width:5077;height:245" type="#_x0000_t202" filled="false" stroked="false">
              <v:textbox inset="0,0,0,0">
                <w:txbxContent>
                  <w:p>
                    <w:pPr>
                      <w:spacing w:line="244" w:lineRule="exact" w:before="0"/>
                      <w:ind w:left="0" w:right="0" w:firstLine="0"/>
                      <w:jc w:val="left"/>
                      <w:rPr>
                        <w:sz w:val="22"/>
                      </w:rPr>
                    </w:pPr>
                    <w:r>
                      <w:rPr>
                        <w:sz w:val="22"/>
                      </w:rPr>
                      <w:t>Type and Grade: S (single component) and NS (nonsag).</w:t>
                    </w:r>
                  </w:p>
                </w:txbxContent>
              </v:textbox>
              <w10:wrap type="none"/>
            </v:shape>
            <v:shape style="position:absolute;left:2304;top:1487;width:186;height:245" type="#_x0000_t202" filled="false" stroked="false">
              <v:textbox inset="0,0,0,0">
                <w:txbxContent>
                  <w:p>
                    <w:pPr>
                      <w:spacing w:line="244" w:lineRule="exact" w:before="0"/>
                      <w:ind w:left="0" w:right="0" w:firstLine="0"/>
                      <w:jc w:val="left"/>
                      <w:rPr>
                        <w:sz w:val="22"/>
                      </w:rPr>
                    </w:pPr>
                    <w:r>
                      <w:rPr>
                        <w:sz w:val="22"/>
                      </w:rPr>
                      <w:t>2.</w:t>
                    </w:r>
                  </w:p>
                </w:txbxContent>
              </v:textbox>
              <w10:wrap type="none"/>
            </v:shape>
            <w10:wrap type="topAndBottom"/>
          </v:group>
        </w:pict>
      </w:r>
    </w:p>
    <w:p>
      <w:pPr>
        <w:pStyle w:val="BodyText"/>
        <w:spacing w:before="2"/>
        <w:ind w:firstLine="0"/>
        <w:rPr>
          <w:sz w:val="16"/>
        </w:rPr>
      </w:pPr>
    </w:p>
    <w:p>
      <w:pPr>
        <w:pStyle w:val="BodyText"/>
        <w:ind w:firstLine="0"/>
        <w:rPr>
          <w:sz w:val="15"/>
        </w:rPr>
      </w:pPr>
    </w:p>
    <w:p>
      <w:pPr>
        <w:pStyle w:val="BodyText"/>
        <w:spacing w:line="218" w:lineRule="exact"/>
        <w:ind w:left="1600" w:firstLine="0"/>
      </w:pPr>
      <w:r>
        <w:rPr>
          <w:shd w:fill="C0C0C0" w:color="auto" w:val="clear"/>
        </w:rPr>
        <w:t>indicated, O.</w:t>
      </w:r>
    </w:p>
    <w:p>
      <w:pPr>
        <w:pStyle w:val="BodyText"/>
        <w:spacing w:before="5"/>
        <w:ind w:firstLine="0"/>
        <w:rPr>
          <w:sz w:val="19"/>
        </w:rPr>
      </w:pPr>
      <w:r>
        <w:rPr/>
        <w:pict>
          <v:shape style="position:absolute;margin-left:144.020004pt;margin-top:12.380594pt;width:300.2pt;height:12.6pt;mso-position-horizontal-relative:page;mso-position-vertical-relative:paragraph;z-index:-712;mso-wrap-distance-left:0;mso-wrap-distance-right:0" type="#_x0000_t202" filled="true" fillcolor="#c0c0c0" stroked="false">
            <v:textbox inset="0,0,0,0">
              <w:txbxContent>
                <w:p>
                  <w:pPr>
                    <w:pStyle w:val="BodyText"/>
                    <w:tabs>
                      <w:tab w:pos="575" w:val="left" w:leader="none"/>
                    </w:tabs>
                    <w:spacing w:line="247" w:lineRule="exact"/>
                    <w:ind w:right="-15" w:firstLine="0"/>
                  </w:pPr>
                  <w:r>
                    <w:rPr/>
                    <w:t>a.</w:t>
                    <w:tab/>
                    <w:t>Use O Joint Substrates: galvanized steel, brick, and</w:t>
                  </w:r>
                  <w:r>
                    <w:rPr>
                      <w:spacing w:val="-11"/>
                    </w:rPr>
                    <w:t> </w:t>
                  </w:r>
                  <w:r>
                    <w:rPr/>
                    <w:t>concrete.</w:t>
                  </w:r>
                </w:p>
              </w:txbxContent>
            </v:textbox>
            <v:fill type="solid"/>
            <w10:wrap type="topAndBottom"/>
          </v:shape>
        </w:pict>
      </w:r>
    </w:p>
    <w:p>
      <w:pPr>
        <w:pStyle w:val="BodyText"/>
        <w:ind w:firstLine="0"/>
        <w:rPr>
          <w:sz w:val="11"/>
        </w:rPr>
      </w:pPr>
    </w:p>
    <w:p>
      <w:pPr>
        <w:pStyle w:val="ListParagraph"/>
        <w:numPr>
          <w:ilvl w:val="0"/>
          <w:numId w:val="3"/>
        </w:numPr>
        <w:tabs>
          <w:tab w:pos="1600" w:val="left" w:leader="none"/>
          <w:tab w:pos="1601" w:val="left" w:leader="none"/>
          <w:tab w:pos="3670" w:val="left" w:leader="none"/>
          <w:tab w:pos="5534" w:val="left" w:leader="none"/>
          <w:tab w:pos="6853" w:val="left" w:leader="none"/>
          <w:tab w:pos="7273" w:val="left" w:leader="none"/>
          <w:tab w:pos="8122" w:val="left" w:leader="none"/>
          <w:tab w:pos="9238" w:val="left" w:leader="none"/>
        </w:tabs>
        <w:spacing w:line="240" w:lineRule="auto" w:before="92" w:after="0"/>
        <w:ind w:left="1600" w:right="119" w:hanging="576"/>
        <w:jc w:val="left"/>
        <w:rPr>
          <w:sz w:val="22"/>
        </w:rPr>
      </w:pPr>
      <w:r>
        <w:rPr/>
        <w:pict>
          <v:rect style="position:absolute;margin-left:115.220001pt;margin-top:4.909544pt;width:424.87pt;height:12.6pt;mso-position-horizontal-relative:page;mso-position-vertical-relative:paragraph;z-index:-17152" filled="true" fillcolor="#c0c0c0" stroked="false">
            <v:fill type="solid"/>
            <w10:wrap type="none"/>
          </v:rect>
        </w:pict>
      </w:r>
      <w:r>
        <w:rPr>
          <w:sz w:val="22"/>
        </w:rPr>
        <w:t>Stain-Test-Response</w:t>
        <w:tab/>
        <w:t>Characteristics:</w:t>
        <w:tab/>
        <w:t>Nonstaining</w:t>
        <w:tab/>
        <w:t>to</w:t>
        <w:tab/>
        <w:t>porous</w:t>
        <w:tab/>
        <w:t>substrates</w:t>
        <w:tab/>
      </w:r>
      <w:r>
        <w:rPr>
          <w:spacing w:val="-9"/>
          <w:sz w:val="22"/>
        </w:rPr>
        <w:t>per</w:t>
      </w:r>
      <w:r>
        <w:rPr>
          <w:spacing w:val="-9"/>
          <w:sz w:val="22"/>
          <w:shd w:fill="C0C0C0" w:color="auto" w:val="clear"/>
        </w:rPr>
        <w:t> </w:t>
      </w:r>
      <w:r>
        <w:rPr>
          <w:sz w:val="22"/>
          <w:shd w:fill="C0C0C0" w:color="auto" w:val="clear"/>
        </w:rPr>
        <w:t>ASTM C 1248.</w:t>
      </w:r>
    </w:p>
    <w:p>
      <w:pPr>
        <w:pStyle w:val="BodyText"/>
        <w:spacing w:before="2"/>
        <w:ind w:firstLine="0"/>
        <w:rPr>
          <w:sz w:val="21"/>
        </w:rPr>
      </w:pPr>
    </w:p>
    <w:p>
      <w:pPr>
        <w:pStyle w:val="ListParagraph"/>
        <w:numPr>
          <w:ilvl w:val="0"/>
          <w:numId w:val="3"/>
        </w:numPr>
        <w:tabs>
          <w:tab w:pos="1600" w:val="left" w:leader="none"/>
          <w:tab w:pos="1601" w:val="left" w:leader="none"/>
        </w:tabs>
        <w:spacing w:line="240" w:lineRule="auto" w:before="0" w:after="0"/>
        <w:ind w:left="1600" w:right="115" w:hanging="576"/>
        <w:jc w:val="left"/>
        <w:rPr>
          <w:b/>
          <w:color w:val="FF0000"/>
          <w:sz w:val="24"/>
        </w:rPr>
      </w:pPr>
      <w:r>
        <w:rPr>
          <w:b/>
          <w:sz w:val="24"/>
          <w:shd w:fill="C0C0C0" w:color="auto" w:val="clear"/>
        </w:rPr>
        <w:t>Exterior Gypsum Joint Sealants (</w:t>
      </w:r>
      <w:r>
        <w:rPr>
          <w:b/>
          <w:sz w:val="24"/>
          <w:shd w:fill="C0C0C0" w:color="auto" w:val="clear"/>
          <w:u w:val="thick"/>
        </w:rPr>
        <w:t>Very Low VOC less than 2%)</w:t>
      </w:r>
      <w:r>
        <w:rPr>
          <w:b/>
          <w:sz w:val="24"/>
          <w:shd w:fill="C0C0C0" w:color="auto" w:val="clear"/>
        </w:rPr>
        <w:t> </w:t>
      </w:r>
      <w:r>
        <w:rPr>
          <w:b/>
          <w:color w:val="FF0000"/>
          <w:sz w:val="24"/>
          <w:shd w:fill="C0C0C0" w:color="auto" w:val="clear"/>
        </w:rPr>
        <w:t>(IECC Required)</w:t>
      </w:r>
    </w:p>
    <w:p>
      <w:pPr>
        <w:pStyle w:val="ListParagraph"/>
        <w:numPr>
          <w:ilvl w:val="1"/>
          <w:numId w:val="3"/>
        </w:numPr>
        <w:tabs>
          <w:tab w:pos="2176" w:val="left" w:leader="none"/>
          <w:tab w:pos="2177" w:val="left" w:leader="none"/>
        </w:tabs>
        <w:spacing w:line="240" w:lineRule="auto" w:before="0" w:after="0"/>
        <w:ind w:left="1600" w:right="2695" w:firstLine="0"/>
        <w:jc w:val="left"/>
        <w:rPr>
          <w:sz w:val="24"/>
        </w:rPr>
      </w:pPr>
      <w:r>
        <w:rPr/>
        <w:pict>
          <v:rect style="position:absolute;margin-left:144.020004pt;margin-top:.403138pt;width:267.17pt;height:13.8pt;mso-position-horizontal-relative:page;mso-position-vertical-relative:paragraph;z-index:-17128" filled="true" fillcolor="#c0c0c0" stroked="false">
            <v:fill type="solid"/>
            <w10:wrap type="none"/>
          </v:rect>
        </w:pict>
      </w:r>
      <w:r>
        <w:rPr>
          <w:sz w:val="24"/>
        </w:rPr>
        <w:t>LT-100 Sealant by STS Coatings (830-995-5177)</w:t>
      </w:r>
      <w:r>
        <w:rPr>
          <w:sz w:val="24"/>
          <w:shd w:fill="C0C0C0" w:color="auto" w:val="clear"/>
        </w:rPr>
        <w:t> b.</w:t>
        <w:tab/>
        <w:t>UniverSeal </w:t>
      </w:r>
      <w:r>
        <w:rPr>
          <w:spacing w:val="2"/>
          <w:sz w:val="24"/>
          <w:shd w:fill="C0C0C0" w:color="auto" w:val="clear"/>
        </w:rPr>
        <w:t>by </w:t>
      </w:r>
      <w:r>
        <w:rPr>
          <w:sz w:val="24"/>
          <w:shd w:fill="C0C0C0" w:color="auto" w:val="clear"/>
        </w:rPr>
        <w:t>York Mfg.</w:t>
      </w:r>
      <w:r>
        <w:rPr>
          <w:spacing w:val="-8"/>
          <w:sz w:val="24"/>
          <w:shd w:fill="C0C0C0" w:color="auto" w:val="clear"/>
        </w:rPr>
        <w:t> </w:t>
      </w:r>
      <w:r>
        <w:rPr>
          <w:sz w:val="24"/>
          <w:shd w:fill="C0C0C0" w:color="auto" w:val="clear"/>
        </w:rPr>
        <w:t>(800-551-2828)</w:t>
      </w:r>
    </w:p>
    <w:p>
      <w:pPr>
        <w:pStyle w:val="BodyText"/>
        <w:spacing w:before="7"/>
        <w:ind w:firstLine="0"/>
        <w:rPr>
          <w:sz w:val="20"/>
        </w:rPr>
      </w:pPr>
    </w:p>
    <w:p>
      <w:pPr>
        <w:pStyle w:val="ListParagraph"/>
        <w:numPr>
          <w:ilvl w:val="2"/>
          <w:numId w:val="2"/>
        </w:numPr>
        <w:tabs>
          <w:tab w:pos="1024" w:val="left" w:leader="none"/>
          <w:tab w:pos="1025" w:val="left" w:leader="none"/>
        </w:tabs>
        <w:spacing w:line="240" w:lineRule="auto" w:before="0" w:after="0"/>
        <w:ind w:left="1024" w:right="0" w:hanging="576"/>
        <w:jc w:val="left"/>
        <w:rPr>
          <w:sz w:val="22"/>
        </w:rPr>
      </w:pPr>
      <w:r>
        <w:rPr>
          <w:sz w:val="22"/>
        </w:rPr>
        <w:t>Single-Component Neutral-Curing Silicone Sealant ES-</w:t>
      </w:r>
      <w:r>
        <w:rPr>
          <w:spacing w:val="-4"/>
          <w:sz w:val="22"/>
        </w:rPr>
        <w:t> </w:t>
      </w:r>
      <w:r>
        <w:rPr>
          <w:sz w:val="22"/>
        </w:rPr>
        <w:t>B:</w:t>
      </w:r>
    </w:p>
    <w:p>
      <w:pPr>
        <w:pStyle w:val="BodyText"/>
        <w:spacing w:before="9"/>
        <w:ind w:firstLine="0"/>
        <w:rPr>
          <w:sz w:val="20"/>
        </w:rPr>
      </w:pPr>
    </w:p>
    <w:p>
      <w:pPr>
        <w:pStyle w:val="ListParagraph"/>
        <w:numPr>
          <w:ilvl w:val="3"/>
          <w:numId w:val="2"/>
        </w:numPr>
        <w:tabs>
          <w:tab w:pos="1600" w:val="left" w:leader="none"/>
          <w:tab w:pos="1601" w:val="left" w:leader="none"/>
        </w:tabs>
        <w:spacing w:line="240" w:lineRule="auto" w:before="1" w:after="0"/>
        <w:ind w:left="1600" w:right="0" w:hanging="576"/>
        <w:jc w:val="left"/>
        <w:rPr>
          <w:sz w:val="22"/>
        </w:rPr>
      </w:pPr>
      <w:r>
        <w:rPr>
          <w:sz w:val="22"/>
        </w:rPr>
        <w:t>Available Products:</w:t>
      </w:r>
    </w:p>
    <w:p>
      <w:pPr>
        <w:pStyle w:val="BodyText"/>
        <w:spacing w:before="11"/>
        <w:ind w:firstLine="0"/>
        <w:rPr>
          <w:sz w:val="20"/>
        </w:rPr>
      </w:pP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Sonneborn, Division of ChemRex Inc., BASF; Omniseal</w:t>
      </w:r>
      <w:r>
        <w:rPr>
          <w:spacing w:val="1"/>
          <w:sz w:val="22"/>
        </w:rPr>
        <w:t> </w:t>
      </w:r>
      <w:r>
        <w:rPr>
          <w:sz w:val="22"/>
        </w:rPr>
        <w:t>50.</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Dow Corning Corporation;</w:t>
      </w:r>
      <w:r>
        <w:rPr>
          <w:spacing w:val="-7"/>
          <w:sz w:val="22"/>
        </w:rPr>
        <w:t> </w:t>
      </w:r>
      <w:r>
        <w:rPr>
          <w:sz w:val="22"/>
        </w:rPr>
        <w:t>795</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GE Silicones; SilPruf NB</w:t>
      </w:r>
      <w:r>
        <w:rPr>
          <w:spacing w:val="2"/>
          <w:sz w:val="22"/>
        </w:rPr>
        <w:t> </w:t>
      </w:r>
      <w:r>
        <w:rPr>
          <w:sz w:val="22"/>
        </w:rPr>
        <w:t>SCS9000.</w:t>
      </w:r>
    </w:p>
    <w:p>
      <w:pPr>
        <w:pStyle w:val="ListParagraph"/>
        <w:numPr>
          <w:ilvl w:val="4"/>
          <w:numId w:val="2"/>
        </w:numPr>
        <w:tabs>
          <w:tab w:pos="2176" w:val="left" w:leader="none"/>
          <w:tab w:pos="2177" w:val="left" w:leader="none"/>
        </w:tabs>
        <w:spacing w:line="240" w:lineRule="auto" w:before="1" w:after="0"/>
        <w:ind w:left="2176" w:right="0" w:hanging="576"/>
        <w:jc w:val="left"/>
        <w:rPr>
          <w:sz w:val="22"/>
        </w:rPr>
      </w:pPr>
      <w:r>
        <w:rPr>
          <w:sz w:val="22"/>
        </w:rPr>
        <w:t>Pecora Corporation; 895.</w:t>
      </w:r>
    </w:p>
    <w:p>
      <w:pPr>
        <w:pStyle w:val="BodyText"/>
        <w:spacing w:before="9"/>
        <w:ind w:firstLine="0"/>
        <w:rPr>
          <w:sz w:val="20"/>
        </w:rPr>
      </w:pP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Type and Grade: S (single component) and NS</w:t>
      </w:r>
      <w:r>
        <w:rPr>
          <w:spacing w:val="-9"/>
          <w:sz w:val="22"/>
        </w:rPr>
        <w:t> </w:t>
      </w:r>
      <w:r>
        <w:rPr>
          <w:sz w:val="22"/>
        </w:rPr>
        <w:t>(nonsag).</w:t>
      </w:r>
    </w:p>
    <w:p>
      <w:pPr>
        <w:pStyle w:val="ListParagraph"/>
        <w:numPr>
          <w:ilvl w:val="3"/>
          <w:numId w:val="2"/>
        </w:numPr>
        <w:tabs>
          <w:tab w:pos="1600" w:val="left" w:leader="none"/>
          <w:tab w:pos="1601" w:val="left" w:leader="none"/>
        </w:tabs>
        <w:spacing w:line="252" w:lineRule="exact" w:before="2" w:after="0"/>
        <w:ind w:left="1600" w:right="0" w:hanging="576"/>
        <w:jc w:val="left"/>
        <w:rPr>
          <w:sz w:val="22"/>
        </w:rPr>
      </w:pPr>
      <w:r>
        <w:rPr>
          <w:sz w:val="22"/>
        </w:rPr>
        <w:t>Class:</w:t>
      </w:r>
      <w:r>
        <w:rPr>
          <w:spacing w:val="1"/>
          <w:sz w:val="22"/>
        </w:rPr>
        <w:t> </w:t>
      </w:r>
      <w:r>
        <w:rPr>
          <w:sz w:val="22"/>
        </w:rPr>
        <w:t>50.</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Use Related to Exposure: NT</w:t>
      </w:r>
      <w:r>
        <w:rPr>
          <w:spacing w:val="-2"/>
          <w:sz w:val="22"/>
        </w:rPr>
        <w:t> </w:t>
      </w:r>
      <w:r>
        <w:rPr>
          <w:sz w:val="22"/>
        </w:rPr>
        <w:t>(nontraffic).</w:t>
      </w:r>
    </w:p>
    <w:p>
      <w:pPr>
        <w:pStyle w:val="ListParagraph"/>
        <w:numPr>
          <w:ilvl w:val="3"/>
          <w:numId w:val="2"/>
        </w:numPr>
        <w:tabs>
          <w:tab w:pos="1600" w:val="left" w:leader="none"/>
          <w:tab w:pos="1601" w:val="left" w:leader="none"/>
          <w:tab w:pos="4980" w:val="left" w:leader="none"/>
        </w:tabs>
        <w:spacing w:line="240" w:lineRule="auto" w:before="0" w:after="0"/>
        <w:ind w:left="1600" w:right="123" w:hanging="576"/>
        <w:jc w:val="left"/>
        <w:rPr>
          <w:sz w:val="22"/>
        </w:rPr>
      </w:pPr>
      <w:r>
        <w:rPr>
          <w:sz w:val="22"/>
        </w:rPr>
        <w:t>Uses  Related  to </w:t>
      </w:r>
      <w:r>
        <w:rPr>
          <w:spacing w:val="19"/>
          <w:sz w:val="22"/>
        </w:rPr>
        <w:t> </w:t>
      </w:r>
      <w:r>
        <w:rPr>
          <w:sz w:val="22"/>
        </w:rPr>
        <w:t>Joint </w:t>
      </w:r>
      <w:r>
        <w:rPr>
          <w:spacing w:val="9"/>
          <w:sz w:val="22"/>
        </w:rPr>
        <w:t> </w:t>
      </w:r>
      <w:r>
        <w:rPr>
          <w:sz w:val="22"/>
        </w:rPr>
        <w:t>Substrates:</w:t>
        <w:tab/>
        <w:t>M, G, A, and, as applicable to joint substrates indicated, O.</w:t>
      </w:r>
    </w:p>
    <w:p>
      <w:pPr>
        <w:pStyle w:val="BodyText"/>
        <w:spacing w:before="10"/>
        <w:ind w:firstLine="0"/>
        <w:rPr>
          <w:sz w:val="20"/>
        </w:rPr>
      </w:pPr>
    </w:p>
    <w:p>
      <w:pPr>
        <w:pStyle w:val="ListParagraph"/>
        <w:numPr>
          <w:ilvl w:val="4"/>
          <w:numId w:val="2"/>
        </w:numPr>
        <w:tabs>
          <w:tab w:pos="2176" w:val="left" w:leader="none"/>
          <w:tab w:pos="2177" w:val="left" w:leader="none"/>
        </w:tabs>
        <w:spacing w:line="240" w:lineRule="auto" w:before="0" w:after="0"/>
        <w:ind w:left="2176" w:right="0" w:hanging="576"/>
        <w:jc w:val="left"/>
        <w:rPr>
          <w:sz w:val="22"/>
        </w:rPr>
      </w:pPr>
      <w:r>
        <w:rPr>
          <w:sz w:val="22"/>
        </w:rPr>
        <w:t>Use O Joint Substrates: Glass and color anodic</w:t>
      </w:r>
      <w:r>
        <w:rPr>
          <w:spacing w:val="-6"/>
          <w:sz w:val="22"/>
        </w:rPr>
        <w:t> </w:t>
      </w:r>
      <w:r>
        <w:rPr>
          <w:sz w:val="22"/>
        </w:rPr>
        <w:t>aluminum.</w:t>
      </w:r>
    </w:p>
    <w:p>
      <w:pPr>
        <w:pStyle w:val="BodyText"/>
        <w:ind w:firstLine="0"/>
        <w:rPr>
          <w:sz w:val="21"/>
        </w:rPr>
      </w:pPr>
    </w:p>
    <w:p>
      <w:pPr>
        <w:pStyle w:val="ListParagraph"/>
        <w:numPr>
          <w:ilvl w:val="2"/>
          <w:numId w:val="2"/>
        </w:numPr>
        <w:tabs>
          <w:tab w:pos="1024" w:val="left" w:leader="none"/>
          <w:tab w:pos="1025" w:val="left" w:leader="none"/>
        </w:tabs>
        <w:spacing w:line="240" w:lineRule="auto" w:before="0" w:after="0"/>
        <w:ind w:left="1024" w:right="0" w:hanging="576"/>
        <w:jc w:val="left"/>
        <w:rPr>
          <w:sz w:val="22"/>
        </w:rPr>
      </w:pPr>
      <w:r>
        <w:rPr>
          <w:sz w:val="22"/>
        </w:rPr>
        <w:t>Single-Component Acid-Curing Silicone Sealant</w:t>
      </w:r>
      <w:r>
        <w:rPr>
          <w:spacing w:val="-2"/>
          <w:sz w:val="22"/>
        </w:rPr>
        <w:t> </w:t>
      </w:r>
      <w:r>
        <w:rPr>
          <w:sz w:val="22"/>
        </w:rPr>
        <w:t>ES-C:</w:t>
      </w:r>
    </w:p>
    <w:p>
      <w:pPr>
        <w:spacing w:after="0" w:line="240" w:lineRule="auto"/>
        <w:jc w:val="left"/>
        <w:rPr>
          <w:sz w:val="22"/>
        </w:rPr>
        <w:sectPr>
          <w:pgSz w:w="12240" w:h="15840"/>
          <w:pgMar w:header="722" w:footer="768" w:top="1340" w:bottom="960" w:left="1280" w:right="1320"/>
        </w:sectPr>
      </w:pPr>
    </w:p>
    <w:p>
      <w:pPr>
        <w:pStyle w:val="ListParagraph"/>
        <w:numPr>
          <w:ilvl w:val="3"/>
          <w:numId w:val="2"/>
        </w:numPr>
        <w:tabs>
          <w:tab w:pos="1600" w:val="left" w:leader="none"/>
          <w:tab w:pos="1601" w:val="left" w:leader="none"/>
        </w:tabs>
        <w:spacing w:line="240" w:lineRule="auto" w:before="81" w:after="0"/>
        <w:ind w:left="1600" w:right="0" w:hanging="576"/>
        <w:jc w:val="left"/>
        <w:rPr>
          <w:sz w:val="22"/>
        </w:rPr>
      </w:pPr>
      <w:r>
        <w:rPr>
          <w:sz w:val="22"/>
        </w:rPr>
        <w:t>Available Products:</w:t>
      </w:r>
    </w:p>
    <w:p>
      <w:pPr>
        <w:pStyle w:val="BodyText"/>
        <w:spacing w:before="9"/>
        <w:ind w:firstLine="0"/>
        <w:rPr>
          <w:sz w:val="20"/>
        </w:rPr>
      </w:pPr>
    </w:p>
    <w:p>
      <w:pPr>
        <w:pStyle w:val="ListParagraph"/>
        <w:numPr>
          <w:ilvl w:val="4"/>
          <w:numId w:val="2"/>
        </w:numPr>
        <w:tabs>
          <w:tab w:pos="2176" w:val="left" w:leader="none"/>
          <w:tab w:pos="2177" w:val="left" w:leader="none"/>
        </w:tabs>
        <w:spacing w:line="240" w:lineRule="auto" w:before="1" w:after="0"/>
        <w:ind w:left="2176" w:right="0" w:hanging="576"/>
        <w:jc w:val="left"/>
        <w:rPr>
          <w:sz w:val="22"/>
        </w:rPr>
      </w:pPr>
      <w:r>
        <w:rPr>
          <w:sz w:val="22"/>
        </w:rPr>
        <w:t>Dow Corning Corporation;</w:t>
      </w:r>
      <w:r>
        <w:rPr>
          <w:spacing w:val="-7"/>
          <w:sz w:val="22"/>
        </w:rPr>
        <w:t> </w:t>
      </w:r>
      <w:r>
        <w:rPr>
          <w:sz w:val="22"/>
        </w:rPr>
        <w:t>999-A.</w:t>
      </w:r>
    </w:p>
    <w:p>
      <w:pPr>
        <w:pStyle w:val="ListParagraph"/>
        <w:numPr>
          <w:ilvl w:val="4"/>
          <w:numId w:val="2"/>
        </w:numPr>
        <w:tabs>
          <w:tab w:pos="2176" w:val="left" w:leader="none"/>
          <w:tab w:pos="2177" w:val="left" w:leader="none"/>
        </w:tabs>
        <w:spacing w:line="252" w:lineRule="exact" w:before="1" w:after="0"/>
        <w:ind w:left="2176" w:right="0" w:hanging="576"/>
        <w:jc w:val="left"/>
        <w:rPr>
          <w:sz w:val="22"/>
        </w:rPr>
      </w:pPr>
      <w:r>
        <w:rPr>
          <w:sz w:val="22"/>
        </w:rPr>
        <w:t>GE Silicones; Sanitary</w:t>
      </w:r>
      <w:r>
        <w:rPr>
          <w:spacing w:val="-1"/>
          <w:sz w:val="22"/>
        </w:rPr>
        <w:t> </w:t>
      </w:r>
      <w:r>
        <w:rPr>
          <w:sz w:val="22"/>
        </w:rPr>
        <w:t>SCS1700.</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Pecora Corporation; 860..</w:t>
      </w:r>
    </w:p>
    <w:p>
      <w:pPr>
        <w:pStyle w:val="ListParagraph"/>
        <w:numPr>
          <w:ilvl w:val="4"/>
          <w:numId w:val="2"/>
        </w:numPr>
        <w:tabs>
          <w:tab w:pos="2176" w:val="left" w:leader="none"/>
          <w:tab w:pos="2177" w:val="left" w:leader="none"/>
        </w:tabs>
        <w:spacing w:line="252" w:lineRule="exact" w:before="1" w:after="0"/>
        <w:ind w:left="2176" w:right="0" w:hanging="576"/>
        <w:jc w:val="left"/>
        <w:rPr>
          <w:sz w:val="22"/>
        </w:rPr>
      </w:pPr>
      <w:r>
        <w:rPr>
          <w:sz w:val="22"/>
        </w:rPr>
        <w:t>Sonneborn, Division of ChemRex Inc.;</w:t>
      </w:r>
      <w:r>
        <w:rPr>
          <w:spacing w:val="1"/>
          <w:sz w:val="22"/>
        </w:rPr>
        <w:t> </w:t>
      </w:r>
      <w:r>
        <w:rPr>
          <w:sz w:val="22"/>
        </w:rPr>
        <w:t>OmniPlus.</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Tremco; Tremsil</w:t>
      </w:r>
      <w:r>
        <w:rPr>
          <w:spacing w:val="-2"/>
          <w:sz w:val="22"/>
        </w:rPr>
        <w:t> </w:t>
      </w:r>
      <w:r>
        <w:rPr>
          <w:sz w:val="22"/>
        </w:rPr>
        <w:t>200.</w:t>
      </w:r>
    </w:p>
    <w:p>
      <w:pPr>
        <w:pStyle w:val="BodyText"/>
        <w:spacing w:before="9"/>
        <w:ind w:firstLine="0"/>
        <w:rPr>
          <w:sz w:val="20"/>
        </w:rPr>
      </w:pP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Type and Grade: S (single component) and NS</w:t>
      </w:r>
      <w:r>
        <w:rPr>
          <w:spacing w:val="-9"/>
          <w:sz w:val="22"/>
        </w:rPr>
        <w:t> </w:t>
      </w:r>
      <w:r>
        <w:rPr>
          <w:sz w:val="22"/>
        </w:rPr>
        <w:t>(nonsag).</w:t>
      </w:r>
    </w:p>
    <w:p>
      <w:pPr>
        <w:pStyle w:val="ListParagraph"/>
        <w:numPr>
          <w:ilvl w:val="3"/>
          <w:numId w:val="2"/>
        </w:numPr>
        <w:tabs>
          <w:tab w:pos="1600" w:val="left" w:leader="none"/>
          <w:tab w:pos="1601" w:val="left" w:leader="none"/>
        </w:tabs>
        <w:spacing w:line="252" w:lineRule="exact" w:before="2" w:after="0"/>
        <w:ind w:left="1600" w:right="0" w:hanging="576"/>
        <w:jc w:val="left"/>
        <w:rPr>
          <w:sz w:val="22"/>
        </w:rPr>
      </w:pPr>
      <w:r>
        <w:rPr>
          <w:sz w:val="22"/>
        </w:rPr>
        <w:t>Class:</w:t>
      </w:r>
      <w:r>
        <w:rPr>
          <w:spacing w:val="1"/>
          <w:sz w:val="22"/>
        </w:rPr>
        <w:t> </w:t>
      </w:r>
      <w:r>
        <w:rPr>
          <w:sz w:val="22"/>
        </w:rPr>
        <w:t>25.</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Use Related to Exposure: NT</w:t>
      </w:r>
      <w:r>
        <w:rPr>
          <w:spacing w:val="-2"/>
          <w:sz w:val="22"/>
        </w:rPr>
        <w:t> </w:t>
      </w:r>
      <w:r>
        <w:rPr>
          <w:sz w:val="22"/>
        </w:rPr>
        <w:t>(nontraffic).</w:t>
      </w:r>
    </w:p>
    <w:p>
      <w:pPr>
        <w:pStyle w:val="ListParagraph"/>
        <w:numPr>
          <w:ilvl w:val="3"/>
          <w:numId w:val="2"/>
        </w:numPr>
        <w:tabs>
          <w:tab w:pos="1600" w:val="left" w:leader="none"/>
          <w:tab w:pos="1601" w:val="left" w:leader="none"/>
        </w:tabs>
        <w:spacing w:line="240" w:lineRule="auto" w:before="1" w:after="0"/>
        <w:ind w:left="1600" w:right="0" w:hanging="576"/>
        <w:jc w:val="left"/>
        <w:rPr>
          <w:sz w:val="22"/>
        </w:rPr>
      </w:pPr>
      <w:r>
        <w:rPr>
          <w:sz w:val="22"/>
        </w:rPr>
        <w:t>Uses Related to Joint Substrates: G, A, and, as applicable to joint substrates indicated,</w:t>
      </w:r>
      <w:r>
        <w:rPr>
          <w:spacing w:val="-24"/>
          <w:sz w:val="22"/>
        </w:rPr>
        <w:t> </w:t>
      </w:r>
      <w:r>
        <w:rPr>
          <w:sz w:val="22"/>
        </w:rPr>
        <w:t>O.</w:t>
      </w:r>
    </w:p>
    <w:p>
      <w:pPr>
        <w:pStyle w:val="BodyText"/>
        <w:spacing w:before="9"/>
        <w:ind w:firstLine="0"/>
        <w:rPr>
          <w:sz w:val="20"/>
        </w:rPr>
      </w:pPr>
    </w:p>
    <w:p>
      <w:pPr>
        <w:pStyle w:val="ListParagraph"/>
        <w:numPr>
          <w:ilvl w:val="4"/>
          <w:numId w:val="2"/>
        </w:numPr>
        <w:tabs>
          <w:tab w:pos="2176" w:val="left" w:leader="none"/>
          <w:tab w:pos="2177" w:val="left" w:leader="none"/>
        </w:tabs>
        <w:spacing w:line="240" w:lineRule="auto" w:before="0" w:after="0"/>
        <w:ind w:left="2176" w:right="0" w:hanging="576"/>
        <w:jc w:val="left"/>
        <w:rPr>
          <w:sz w:val="22"/>
        </w:rPr>
      </w:pPr>
      <w:r>
        <w:rPr>
          <w:sz w:val="22"/>
        </w:rPr>
        <w:t>Use O Joint Substrates: ceramic tile and stainless</w:t>
      </w:r>
      <w:r>
        <w:rPr>
          <w:spacing w:val="-2"/>
          <w:sz w:val="22"/>
        </w:rPr>
        <w:t> </w:t>
      </w:r>
      <w:r>
        <w:rPr>
          <w:sz w:val="22"/>
        </w:rPr>
        <w:t>steel.</w:t>
      </w:r>
    </w:p>
    <w:p>
      <w:pPr>
        <w:pStyle w:val="BodyText"/>
        <w:spacing w:before="10"/>
        <w:ind w:firstLine="0"/>
        <w:rPr>
          <w:sz w:val="20"/>
        </w:rPr>
      </w:pPr>
    </w:p>
    <w:p>
      <w:pPr>
        <w:pStyle w:val="ListParagraph"/>
        <w:numPr>
          <w:ilvl w:val="2"/>
          <w:numId w:val="2"/>
        </w:numPr>
        <w:tabs>
          <w:tab w:pos="1024" w:val="left" w:leader="none"/>
          <w:tab w:pos="1025" w:val="left" w:leader="none"/>
        </w:tabs>
        <w:spacing w:line="240" w:lineRule="auto" w:before="0" w:after="0"/>
        <w:ind w:left="1024" w:right="0" w:hanging="576"/>
        <w:jc w:val="left"/>
        <w:rPr>
          <w:sz w:val="22"/>
        </w:rPr>
      </w:pPr>
      <w:r>
        <w:rPr>
          <w:sz w:val="22"/>
        </w:rPr>
        <w:t>Multicomponent Nonsag Urethane Sealant</w:t>
      </w:r>
      <w:r>
        <w:rPr>
          <w:spacing w:val="-1"/>
          <w:sz w:val="22"/>
        </w:rPr>
        <w:t> </w:t>
      </w:r>
      <w:r>
        <w:rPr>
          <w:sz w:val="22"/>
        </w:rPr>
        <w:t>ES-D:</w:t>
      </w:r>
    </w:p>
    <w:p>
      <w:pPr>
        <w:pStyle w:val="BodyText"/>
        <w:ind w:firstLine="0"/>
        <w:rPr>
          <w:sz w:val="21"/>
        </w:rPr>
      </w:pP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Available Products:</w:t>
      </w:r>
    </w:p>
    <w:p>
      <w:pPr>
        <w:pStyle w:val="BodyText"/>
        <w:spacing w:before="9"/>
        <w:ind w:firstLine="0"/>
        <w:rPr>
          <w:sz w:val="20"/>
        </w:rPr>
      </w:pPr>
    </w:p>
    <w:p>
      <w:pPr>
        <w:pStyle w:val="ListParagraph"/>
        <w:numPr>
          <w:ilvl w:val="4"/>
          <w:numId w:val="2"/>
        </w:numPr>
        <w:tabs>
          <w:tab w:pos="2176" w:val="left" w:leader="none"/>
          <w:tab w:pos="2177" w:val="left" w:leader="none"/>
        </w:tabs>
        <w:spacing w:line="240" w:lineRule="auto" w:before="0" w:after="0"/>
        <w:ind w:left="2176" w:right="0" w:hanging="576"/>
        <w:jc w:val="left"/>
        <w:rPr>
          <w:sz w:val="22"/>
        </w:rPr>
      </w:pPr>
      <w:r>
        <w:rPr>
          <w:sz w:val="22"/>
        </w:rPr>
        <w:t>Sonneborn, Division of ChemRex Inc.; NP</w:t>
      </w:r>
      <w:r>
        <w:rPr>
          <w:spacing w:val="3"/>
          <w:sz w:val="22"/>
        </w:rPr>
        <w:t> </w:t>
      </w:r>
      <w:r>
        <w:rPr>
          <w:sz w:val="22"/>
        </w:rPr>
        <w:t>2.</w:t>
      </w:r>
    </w:p>
    <w:p>
      <w:pPr>
        <w:pStyle w:val="BodyText"/>
        <w:ind w:firstLine="0"/>
        <w:rPr>
          <w:sz w:val="21"/>
        </w:rPr>
      </w:pP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Type and Grade: M (multicomponent) and NS</w:t>
      </w:r>
      <w:r>
        <w:rPr>
          <w:spacing w:val="-7"/>
          <w:sz w:val="22"/>
        </w:rPr>
        <w:t> </w:t>
      </w:r>
      <w:r>
        <w:rPr>
          <w:sz w:val="22"/>
        </w:rPr>
        <w:t>(nonsag).</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Class:</w:t>
      </w:r>
      <w:r>
        <w:rPr>
          <w:spacing w:val="1"/>
          <w:sz w:val="22"/>
        </w:rPr>
        <w:t> </w:t>
      </w:r>
      <w:r>
        <w:rPr>
          <w:sz w:val="22"/>
        </w:rPr>
        <w:t>25.</w:t>
      </w:r>
    </w:p>
    <w:p>
      <w:pPr>
        <w:pStyle w:val="ListParagraph"/>
        <w:numPr>
          <w:ilvl w:val="3"/>
          <w:numId w:val="2"/>
        </w:numPr>
        <w:tabs>
          <w:tab w:pos="1600" w:val="left" w:leader="none"/>
          <w:tab w:pos="1601" w:val="left" w:leader="none"/>
        </w:tabs>
        <w:spacing w:line="252" w:lineRule="exact" w:before="1" w:after="0"/>
        <w:ind w:left="1600" w:right="0" w:hanging="576"/>
        <w:jc w:val="left"/>
        <w:rPr>
          <w:sz w:val="22"/>
        </w:rPr>
      </w:pPr>
      <w:r>
        <w:rPr>
          <w:sz w:val="22"/>
        </w:rPr>
        <w:t>Uses Related to Exposure: T (traffic) and NT</w:t>
      </w:r>
      <w:r>
        <w:rPr>
          <w:spacing w:val="-7"/>
          <w:sz w:val="22"/>
        </w:rPr>
        <w:t> </w:t>
      </w:r>
      <w:r>
        <w:rPr>
          <w:sz w:val="22"/>
        </w:rPr>
        <w:t>(nontraffic).</w:t>
      </w:r>
    </w:p>
    <w:p>
      <w:pPr>
        <w:pStyle w:val="ListParagraph"/>
        <w:numPr>
          <w:ilvl w:val="3"/>
          <w:numId w:val="2"/>
        </w:numPr>
        <w:tabs>
          <w:tab w:pos="1600" w:val="left" w:leader="none"/>
          <w:tab w:pos="1601" w:val="left" w:leader="none"/>
          <w:tab w:pos="5012" w:val="left" w:leader="none"/>
        </w:tabs>
        <w:spacing w:line="240" w:lineRule="auto" w:before="0" w:after="0"/>
        <w:ind w:left="1600" w:right="118" w:hanging="576"/>
        <w:jc w:val="left"/>
        <w:rPr>
          <w:sz w:val="22"/>
        </w:rPr>
      </w:pPr>
      <w:r>
        <w:rPr>
          <w:sz w:val="22"/>
        </w:rPr>
        <w:t>Uses  Related  to </w:t>
      </w:r>
      <w:r>
        <w:rPr>
          <w:spacing w:val="38"/>
          <w:sz w:val="22"/>
        </w:rPr>
        <w:t> </w:t>
      </w:r>
      <w:r>
        <w:rPr>
          <w:sz w:val="22"/>
        </w:rPr>
        <w:t>Joint </w:t>
      </w:r>
      <w:r>
        <w:rPr>
          <w:spacing w:val="14"/>
          <w:sz w:val="22"/>
        </w:rPr>
        <w:t> </w:t>
      </w:r>
      <w:r>
        <w:rPr>
          <w:sz w:val="22"/>
        </w:rPr>
        <w:t>Substrates:</w:t>
        <w:tab/>
        <w:t>M, G, A, and, as applicable to joint substrates indicated, O.</w:t>
      </w:r>
    </w:p>
    <w:p>
      <w:pPr>
        <w:pStyle w:val="BodyText"/>
        <w:spacing w:before="10"/>
        <w:ind w:firstLine="0"/>
        <w:rPr>
          <w:sz w:val="20"/>
        </w:rPr>
      </w:pPr>
    </w:p>
    <w:p>
      <w:pPr>
        <w:pStyle w:val="ListParagraph"/>
        <w:numPr>
          <w:ilvl w:val="4"/>
          <w:numId w:val="2"/>
        </w:numPr>
        <w:tabs>
          <w:tab w:pos="2176" w:val="left" w:leader="none"/>
          <w:tab w:pos="2177" w:val="left" w:leader="none"/>
          <w:tab w:pos="4574" w:val="left" w:leader="none"/>
        </w:tabs>
        <w:spacing w:line="240" w:lineRule="auto" w:before="0" w:after="0"/>
        <w:ind w:left="2176" w:right="117" w:hanging="576"/>
        <w:jc w:val="left"/>
        <w:rPr>
          <w:sz w:val="22"/>
        </w:rPr>
      </w:pPr>
      <w:r>
        <w:rPr>
          <w:sz w:val="22"/>
        </w:rPr>
        <w:t>Use O</w:t>
      </w:r>
      <w:r>
        <w:rPr>
          <w:spacing w:val="53"/>
          <w:sz w:val="22"/>
        </w:rPr>
        <w:t> </w:t>
      </w:r>
      <w:r>
        <w:rPr>
          <w:sz w:val="22"/>
        </w:rPr>
        <w:t>Joint </w:t>
      </w:r>
      <w:r>
        <w:rPr>
          <w:spacing w:val="2"/>
          <w:sz w:val="22"/>
        </w:rPr>
        <w:t> </w:t>
      </w:r>
      <w:r>
        <w:rPr>
          <w:sz w:val="22"/>
        </w:rPr>
        <w:t>Substrates:</w:t>
        <w:tab/>
        <w:t>Color anodic aluminum, galvanized steel, brick, and ceramic</w:t>
      </w:r>
      <w:r>
        <w:rPr>
          <w:spacing w:val="-3"/>
          <w:sz w:val="22"/>
        </w:rPr>
        <w:t> </w:t>
      </w:r>
      <w:r>
        <w:rPr>
          <w:sz w:val="22"/>
        </w:rPr>
        <w:t>tile.</w:t>
      </w:r>
    </w:p>
    <w:p>
      <w:pPr>
        <w:pStyle w:val="BodyText"/>
        <w:spacing w:before="11"/>
        <w:ind w:firstLine="0"/>
        <w:rPr>
          <w:sz w:val="20"/>
        </w:rPr>
      </w:pPr>
    </w:p>
    <w:p>
      <w:pPr>
        <w:pStyle w:val="ListParagraph"/>
        <w:numPr>
          <w:ilvl w:val="2"/>
          <w:numId w:val="2"/>
        </w:numPr>
        <w:tabs>
          <w:tab w:pos="1024" w:val="left" w:leader="none"/>
          <w:tab w:pos="1025" w:val="left" w:leader="none"/>
        </w:tabs>
        <w:spacing w:line="240" w:lineRule="auto" w:before="0" w:after="0"/>
        <w:ind w:left="1024" w:right="0" w:hanging="576"/>
        <w:jc w:val="left"/>
        <w:rPr>
          <w:sz w:val="22"/>
        </w:rPr>
      </w:pPr>
      <w:r>
        <w:rPr>
          <w:sz w:val="22"/>
        </w:rPr>
        <w:t>Multicomponent Pourable Urethane Sealant</w:t>
      </w:r>
      <w:r>
        <w:rPr>
          <w:spacing w:val="-1"/>
          <w:sz w:val="22"/>
        </w:rPr>
        <w:t> </w:t>
      </w:r>
      <w:r>
        <w:rPr>
          <w:sz w:val="22"/>
        </w:rPr>
        <w:t>ES-E:</w:t>
      </w:r>
    </w:p>
    <w:p>
      <w:pPr>
        <w:pStyle w:val="BodyText"/>
        <w:spacing w:before="9"/>
        <w:ind w:firstLine="0"/>
        <w:rPr>
          <w:sz w:val="20"/>
        </w:rPr>
      </w:pP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Available Products:</w:t>
      </w:r>
    </w:p>
    <w:p>
      <w:pPr>
        <w:pStyle w:val="BodyText"/>
        <w:spacing w:before="9"/>
        <w:ind w:firstLine="0"/>
        <w:rPr>
          <w:sz w:val="20"/>
        </w:rPr>
      </w:pPr>
    </w:p>
    <w:p>
      <w:pPr>
        <w:pStyle w:val="ListParagraph"/>
        <w:numPr>
          <w:ilvl w:val="4"/>
          <w:numId w:val="2"/>
        </w:numPr>
        <w:tabs>
          <w:tab w:pos="2176" w:val="left" w:leader="none"/>
          <w:tab w:pos="2177" w:val="left" w:leader="none"/>
        </w:tabs>
        <w:spacing w:line="240" w:lineRule="auto" w:before="0" w:after="0"/>
        <w:ind w:left="2176" w:right="0" w:hanging="576"/>
        <w:jc w:val="left"/>
        <w:rPr>
          <w:sz w:val="22"/>
        </w:rPr>
      </w:pPr>
      <w:r>
        <w:rPr>
          <w:sz w:val="22"/>
        </w:rPr>
        <w:t>Pecora Corporation; Dynatrol</w:t>
      </w:r>
      <w:r>
        <w:rPr>
          <w:spacing w:val="2"/>
          <w:sz w:val="22"/>
        </w:rPr>
        <w:t> </w:t>
      </w:r>
      <w:r>
        <w:rPr>
          <w:sz w:val="22"/>
        </w:rPr>
        <w:t>II-SG.</w:t>
      </w:r>
    </w:p>
    <w:p>
      <w:pPr>
        <w:pStyle w:val="ListParagraph"/>
        <w:numPr>
          <w:ilvl w:val="4"/>
          <w:numId w:val="2"/>
        </w:numPr>
        <w:tabs>
          <w:tab w:pos="2176" w:val="left" w:leader="none"/>
          <w:tab w:pos="2177" w:val="left" w:leader="none"/>
        </w:tabs>
        <w:spacing w:line="252" w:lineRule="exact" w:before="2" w:after="0"/>
        <w:ind w:left="2176" w:right="0" w:hanging="576"/>
        <w:jc w:val="left"/>
        <w:rPr>
          <w:sz w:val="22"/>
        </w:rPr>
      </w:pPr>
      <w:r>
        <w:rPr>
          <w:sz w:val="22"/>
        </w:rPr>
        <w:t>Sika Corporation, Inc.; Sikaflex - 2c</w:t>
      </w:r>
      <w:r>
        <w:rPr>
          <w:spacing w:val="-1"/>
          <w:sz w:val="22"/>
        </w:rPr>
        <w:t> </w:t>
      </w:r>
      <w:r>
        <w:rPr>
          <w:sz w:val="22"/>
        </w:rPr>
        <w:t>SL.</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Sonneborn, Division of ChemRex Inc.; SL</w:t>
      </w:r>
      <w:r>
        <w:rPr>
          <w:spacing w:val="3"/>
          <w:sz w:val="22"/>
        </w:rPr>
        <w:t> </w:t>
      </w:r>
      <w:r>
        <w:rPr>
          <w:sz w:val="22"/>
        </w:rPr>
        <w:t>2.</w:t>
      </w:r>
    </w:p>
    <w:p>
      <w:pPr>
        <w:pStyle w:val="BodyText"/>
        <w:spacing w:before="11"/>
        <w:ind w:firstLine="0"/>
        <w:rPr>
          <w:sz w:val="20"/>
        </w:rPr>
      </w:pP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Type and Grade: M (multicomponent) and P</w:t>
      </w:r>
      <w:r>
        <w:rPr>
          <w:spacing w:val="-8"/>
          <w:sz w:val="22"/>
        </w:rPr>
        <w:t> </w:t>
      </w:r>
      <w:r>
        <w:rPr>
          <w:sz w:val="22"/>
        </w:rPr>
        <w:t>(pourable).</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Class:</w:t>
      </w:r>
      <w:r>
        <w:rPr>
          <w:spacing w:val="1"/>
          <w:sz w:val="22"/>
        </w:rPr>
        <w:t> </w:t>
      </w:r>
      <w:r>
        <w:rPr>
          <w:sz w:val="22"/>
        </w:rPr>
        <w:t>25.</w:t>
      </w:r>
    </w:p>
    <w:p>
      <w:pPr>
        <w:pStyle w:val="ListParagraph"/>
        <w:numPr>
          <w:ilvl w:val="3"/>
          <w:numId w:val="2"/>
        </w:numPr>
        <w:tabs>
          <w:tab w:pos="1600" w:val="left" w:leader="none"/>
          <w:tab w:pos="1601" w:val="left" w:leader="none"/>
        </w:tabs>
        <w:spacing w:line="252" w:lineRule="exact" w:before="0" w:after="0"/>
        <w:ind w:left="1600" w:right="0" w:hanging="576"/>
        <w:jc w:val="left"/>
        <w:rPr>
          <w:sz w:val="22"/>
        </w:rPr>
      </w:pPr>
      <w:r>
        <w:rPr>
          <w:sz w:val="22"/>
        </w:rPr>
        <w:t>Uses Related to Exposure: T (traffic) and NT</w:t>
      </w:r>
      <w:r>
        <w:rPr>
          <w:spacing w:val="-7"/>
          <w:sz w:val="22"/>
        </w:rPr>
        <w:t> </w:t>
      </w:r>
      <w:r>
        <w:rPr>
          <w:sz w:val="22"/>
        </w:rPr>
        <w:t>(nontraffic).</w:t>
      </w:r>
    </w:p>
    <w:p>
      <w:pPr>
        <w:pStyle w:val="ListParagraph"/>
        <w:numPr>
          <w:ilvl w:val="3"/>
          <w:numId w:val="2"/>
        </w:numPr>
        <w:tabs>
          <w:tab w:pos="1600" w:val="left" w:leader="none"/>
          <w:tab w:pos="1601" w:val="left" w:leader="none"/>
          <w:tab w:pos="4980" w:val="left" w:leader="none"/>
        </w:tabs>
        <w:spacing w:line="240" w:lineRule="auto" w:before="1" w:after="0"/>
        <w:ind w:left="1600" w:right="123" w:hanging="576"/>
        <w:jc w:val="left"/>
        <w:rPr>
          <w:sz w:val="22"/>
        </w:rPr>
      </w:pPr>
      <w:r>
        <w:rPr>
          <w:sz w:val="22"/>
        </w:rPr>
        <w:t>Uses  Related  to </w:t>
      </w:r>
      <w:r>
        <w:rPr>
          <w:spacing w:val="19"/>
          <w:sz w:val="22"/>
        </w:rPr>
        <w:t> </w:t>
      </w:r>
      <w:r>
        <w:rPr>
          <w:sz w:val="22"/>
        </w:rPr>
        <w:t>Joint </w:t>
      </w:r>
      <w:r>
        <w:rPr>
          <w:spacing w:val="9"/>
          <w:sz w:val="22"/>
        </w:rPr>
        <w:t> </w:t>
      </w:r>
      <w:r>
        <w:rPr>
          <w:sz w:val="22"/>
        </w:rPr>
        <w:t>Substrates:</w:t>
        <w:tab/>
        <w:t>M, G, A, and, as applicable to joint substrates indicated, O.</w:t>
      </w:r>
    </w:p>
    <w:p>
      <w:pPr>
        <w:pStyle w:val="BodyText"/>
        <w:ind w:firstLine="0"/>
        <w:rPr>
          <w:sz w:val="21"/>
        </w:rPr>
      </w:pPr>
    </w:p>
    <w:p>
      <w:pPr>
        <w:pStyle w:val="ListParagraph"/>
        <w:numPr>
          <w:ilvl w:val="4"/>
          <w:numId w:val="2"/>
        </w:numPr>
        <w:tabs>
          <w:tab w:pos="2176" w:val="left" w:leader="none"/>
          <w:tab w:pos="2177" w:val="left" w:leader="none"/>
        </w:tabs>
        <w:spacing w:line="240" w:lineRule="auto" w:before="0" w:after="0"/>
        <w:ind w:left="2176" w:right="0" w:hanging="576"/>
        <w:jc w:val="left"/>
        <w:rPr>
          <w:sz w:val="22"/>
        </w:rPr>
      </w:pPr>
      <w:r>
        <w:rPr>
          <w:sz w:val="22"/>
        </w:rPr>
        <w:t>Use O Joint Substrates: ceramic tile and</w:t>
      </w:r>
      <w:r>
        <w:rPr>
          <w:spacing w:val="-3"/>
          <w:sz w:val="22"/>
        </w:rPr>
        <w:t> </w:t>
      </w:r>
      <w:r>
        <w:rPr>
          <w:sz w:val="22"/>
        </w:rPr>
        <w:t>concrete.</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3" w:after="0"/>
        <w:ind w:left="1024" w:right="0" w:hanging="864"/>
        <w:jc w:val="left"/>
        <w:rPr>
          <w:sz w:val="22"/>
        </w:rPr>
      </w:pPr>
      <w:r>
        <w:rPr>
          <w:sz w:val="22"/>
        </w:rPr>
        <w:t>ACOUSTICAL JOINT SEALANTS</w:t>
      </w:r>
    </w:p>
    <w:p>
      <w:pPr>
        <w:pStyle w:val="BodyText"/>
        <w:spacing w:before="9"/>
        <w:ind w:firstLine="0"/>
        <w:rPr>
          <w:sz w:val="20"/>
        </w:rPr>
      </w:pPr>
    </w:p>
    <w:p>
      <w:pPr>
        <w:pStyle w:val="ListParagraph"/>
        <w:numPr>
          <w:ilvl w:val="2"/>
          <w:numId w:val="2"/>
        </w:numPr>
        <w:tabs>
          <w:tab w:pos="1024" w:val="left" w:leader="none"/>
          <w:tab w:pos="1025" w:val="left" w:leader="none"/>
        </w:tabs>
        <w:spacing w:line="240" w:lineRule="auto" w:before="0" w:after="0"/>
        <w:ind w:left="1024" w:right="116" w:hanging="576"/>
        <w:jc w:val="left"/>
        <w:rPr>
          <w:sz w:val="22"/>
        </w:rPr>
      </w:pPr>
      <w:r>
        <w:rPr>
          <w:sz w:val="22"/>
        </w:rPr>
        <w:t>Acoustical Sealant for Exposed and Concealed Joints AS-A: Manufacturer's standard nonsag, paintable, nonstaining latex sealant complying with ASTM C 834 and the</w:t>
      </w:r>
      <w:r>
        <w:rPr>
          <w:spacing w:val="-16"/>
          <w:sz w:val="22"/>
        </w:rPr>
        <w:t> </w:t>
      </w:r>
      <w:r>
        <w:rPr>
          <w:sz w:val="22"/>
        </w:rPr>
        <w:t>following:</w:t>
      </w:r>
    </w:p>
    <w:p>
      <w:pPr>
        <w:spacing w:after="0" w:line="240" w:lineRule="auto"/>
        <w:jc w:val="left"/>
        <w:rPr>
          <w:sz w:val="22"/>
        </w:rPr>
        <w:sectPr>
          <w:pgSz w:w="12240" w:h="15840"/>
          <w:pgMar w:header="722" w:footer="768" w:top="1340" w:bottom="960" w:left="1280" w:right="1320"/>
        </w:sectPr>
      </w:pPr>
    </w:p>
    <w:p>
      <w:pPr>
        <w:pStyle w:val="ListParagraph"/>
        <w:numPr>
          <w:ilvl w:val="3"/>
          <w:numId w:val="2"/>
        </w:numPr>
        <w:tabs>
          <w:tab w:pos="1601" w:val="left" w:leader="none"/>
        </w:tabs>
        <w:spacing w:line="240" w:lineRule="auto" w:before="81" w:after="0"/>
        <w:ind w:left="1600" w:right="121" w:hanging="576"/>
        <w:jc w:val="both"/>
        <w:rPr>
          <w:sz w:val="22"/>
        </w:rPr>
      </w:pPr>
      <w:r>
        <w:rPr>
          <w:sz w:val="22"/>
        </w:rPr>
        <w:t>Product effectively reduces airborne sound transmission through perimeter joints and openings in building construction as demonstrated by testing representative assemblies according to ASTM E</w:t>
      </w:r>
      <w:r>
        <w:rPr>
          <w:spacing w:val="-3"/>
          <w:sz w:val="22"/>
        </w:rPr>
        <w:t> </w:t>
      </w:r>
      <w:r>
        <w:rPr>
          <w:sz w:val="22"/>
        </w:rPr>
        <w:t>90.</w:t>
      </w:r>
    </w:p>
    <w:p>
      <w:pPr>
        <w:pStyle w:val="ListParagraph"/>
        <w:numPr>
          <w:ilvl w:val="3"/>
          <w:numId w:val="2"/>
        </w:numPr>
        <w:tabs>
          <w:tab w:pos="1600" w:val="left" w:leader="none"/>
          <w:tab w:pos="1601" w:val="left" w:leader="none"/>
        </w:tabs>
        <w:spacing w:line="240" w:lineRule="auto" w:before="0" w:after="0"/>
        <w:ind w:left="1600" w:right="0" w:hanging="576"/>
        <w:jc w:val="left"/>
        <w:rPr>
          <w:sz w:val="22"/>
        </w:rPr>
      </w:pPr>
      <w:r>
        <w:rPr>
          <w:sz w:val="22"/>
        </w:rPr>
        <w:t>Available Products:</w:t>
      </w:r>
    </w:p>
    <w:p>
      <w:pPr>
        <w:pStyle w:val="BodyText"/>
        <w:ind w:firstLine="0"/>
        <w:rPr>
          <w:sz w:val="21"/>
        </w:rPr>
      </w:pP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Pecora Corporation; AC-20 FTR Acoustical and Insulation</w:t>
      </w:r>
      <w:r>
        <w:rPr>
          <w:spacing w:val="-14"/>
          <w:sz w:val="22"/>
        </w:rPr>
        <w:t> </w:t>
      </w:r>
      <w:r>
        <w:rPr>
          <w:sz w:val="22"/>
        </w:rPr>
        <w:t>Sealant.</w:t>
      </w:r>
    </w:p>
    <w:p>
      <w:pPr>
        <w:pStyle w:val="ListParagraph"/>
        <w:numPr>
          <w:ilvl w:val="4"/>
          <w:numId w:val="2"/>
        </w:numPr>
        <w:tabs>
          <w:tab w:pos="2176" w:val="left" w:leader="none"/>
          <w:tab w:pos="2177" w:val="left" w:leader="none"/>
        </w:tabs>
        <w:spacing w:line="252" w:lineRule="exact" w:before="0" w:after="0"/>
        <w:ind w:left="2176" w:right="0" w:hanging="576"/>
        <w:jc w:val="left"/>
        <w:rPr>
          <w:sz w:val="22"/>
        </w:rPr>
      </w:pPr>
      <w:r>
        <w:rPr>
          <w:sz w:val="22"/>
        </w:rPr>
        <w:t>United States Gypsum Co.; SHEETROCK Acoustical</w:t>
      </w:r>
      <w:r>
        <w:rPr>
          <w:spacing w:val="-14"/>
          <w:sz w:val="22"/>
        </w:rPr>
        <w:t> </w:t>
      </w:r>
      <w:r>
        <w:rPr>
          <w:sz w:val="22"/>
        </w:rPr>
        <w:t>Sealant.</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3" w:after="0"/>
        <w:ind w:left="1024" w:right="0" w:hanging="864"/>
        <w:jc w:val="left"/>
        <w:rPr>
          <w:sz w:val="22"/>
        </w:rPr>
      </w:pPr>
      <w:r>
        <w:rPr>
          <w:sz w:val="22"/>
        </w:rPr>
        <w:t>JOINT-SEALANT BACKING</w:t>
      </w:r>
    </w:p>
    <w:p>
      <w:pPr>
        <w:pStyle w:val="BodyText"/>
        <w:ind w:firstLine="0"/>
        <w:rPr>
          <w:sz w:val="21"/>
        </w:rPr>
      </w:pPr>
    </w:p>
    <w:p>
      <w:pPr>
        <w:pStyle w:val="ListParagraph"/>
        <w:numPr>
          <w:ilvl w:val="2"/>
          <w:numId w:val="2"/>
        </w:numPr>
        <w:tabs>
          <w:tab w:pos="1025" w:val="left" w:leader="none"/>
        </w:tabs>
        <w:spacing w:line="240" w:lineRule="auto" w:before="0" w:after="0"/>
        <w:ind w:left="1024" w:right="120" w:hanging="576"/>
        <w:jc w:val="both"/>
        <w:rPr>
          <w:sz w:val="22"/>
        </w:rPr>
      </w:pPr>
      <w:r>
        <w:rPr>
          <w:sz w:val="22"/>
        </w:rPr>
        <w:t>General: Provide sealant backings of material and type that are nonstaining; are compatible  with joint substrates, sealants, primers, and other joint fillers; and are approved for applications indicated by sealant manufacturer based on field experience and laboratory</w:t>
      </w:r>
      <w:r>
        <w:rPr>
          <w:spacing w:val="-17"/>
          <w:sz w:val="22"/>
        </w:rPr>
        <w:t> </w:t>
      </w:r>
      <w:r>
        <w:rPr>
          <w:sz w:val="22"/>
        </w:rPr>
        <w:t>testing.</w:t>
      </w:r>
    </w:p>
    <w:p>
      <w:pPr>
        <w:pStyle w:val="BodyText"/>
        <w:spacing w:before="10"/>
        <w:ind w:firstLine="0"/>
        <w:rPr>
          <w:sz w:val="20"/>
        </w:rPr>
      </w:pPr>
    </w:p>
    <w:p>
      <w:pPr>
        <w:pStyle w:val="ListParagraph"/>
        <w:numPr>
          <w:ilvl w:val="2"/>
          <w:numId w:val="2"/>
        </w:numPr>
        <w:tabs>
          <w:tab w:pos="1025" w:val="left" w:leader="none"/>
        </w:tabs>
        <w:spacing w:line="240" w:lineRule="auto" w:before="0" w:after="0"/>
        <w:ind w:left="1024" w:right="117" w:hanging="576"/>
        <w:jc w:val="both"/>
        <w:rPr>
          <w:sz w:val="22"/>
        </w:rPr>
      </w:pPr>
      <w:r>
        <w:rPr>
          <w:sz w:val="22"/>
        </w:rPr>
        <w:t>Cylindrical Sealant Backings: ASTM C 1330, Type C (closed-cell material with a surface  skin), and of size and density to control sealant depth and otherwise contribute to producing optimum sealant</w:t>
      </w:r>
      <w:r>
        <w:rPr>
          <w:spacing w:val="-6"/>
          <w:sz w:val="22"/>
        </w:rPr>
        <w:t> </w:t>
      </w:r>
      <w:r>
        <w:rPr>
          <w:sz w:val="22"/>
        </w:rPr>
        <w:t>performance:</w:t>
      </w:r>
    </w:p>
    <w:p>
      <w:pPr>
        <w:pStyle w:val="BodyText"/>
        <w:spacing w:before="9"/>
        <w:ind w:firstLine="0"/>
        <w:rPr>
          <w:sz w:val="20"/>
        </w:rPr>
      </w:pPr>
    </w:p>
    <w:p>
      <w:pPr>
        <w:pStyle w:val="ListParagraph"/>
        <w:numPr>
          <w:ilvl w:val="2"/>
          <w:numId w:val="2"/>
        </w:numPr>
        <w:tabs>
          <w:tab w:pos="1025" w:val="left" w:leader="none"/>
        </w:tabs>
        <w:spacing w:line="240" w:lineRule="auto" w:before="0" w:after="0"/>
        <w:ind w:left="1024" w:right="115" w:hanging="576"/>
        <w:jc w:val="both"/>
        <w:rPr>
          <w:sz w:val="22"/>
        </w:rPr>
      </w:pPr>
      <w:r>
        <w:rPr>
          <w:sz w:val="22"/>
        </w:rPr>
        <w:t>Elastomeric Tubing Sealant Backings: Neoprene, butyl, or silicone tubing complying with ASTM D 1056, nonabsorbent to water and gas, and capable of remaining resilient at temperatures down to minus 26 deg F (minus 32 deg C). Provide products with low compression set and of size and shape to provide a secondary seal, to control sealant depth, and to otherwise contribute to optimum sealant</w:t>
      </w:r>
      <w:r>
        <w:rPr>
          <w:spacing w:val="-9"/>
          <w:sz w:val="22"/>
        </w:rPr>
        <w:t> </w:t>
      </w:r>
      <w:r>
        <w:rPr>
          <w:sz w:val="22"/>
        </w:rPr>
        <w:t>performance.</w:t>
      </w:r>
    </w:p>
    <w:p>
      <w:pPr>
        <w:pStyle w:val="BodyText"/>
        <w:spacing w:before="10"/>
        <w:ind w:firstLine="0"/>
        <w:rPr>
          <w:sz w:val="20"/>
        </w:rPr>
      </w:pPr>
    </w:p>
    <w:p>
      <w:pPr>
        <w:pStyle w:val="ListParagraph"/>
        <w:numPr>
          <w:ilvl w:val="2"/>
          <w:numId w:val="2"/>
        </w:numPr>
        <w:tabs>
          <w:tab w:pos="1025" w:val="left" w:leader="none"/>
        </w:tabs>
        <w:spacing w:line="240" w:lineRule="auto" w:before="0" w:after="0"/>
        <w:ind w:left="1024" w:right="112" w:hanging="576"/>
        <w:jc w:val="both"/>
        <w:rPr>
          <w:sz w:val="22"/>
        </w:rPr>
      </w:pPr>
      <w:r>
        <w:rPr>
          <w:sz w:val="22"/>
        </w:rPr>
        <w:t>Bond-Breaker Tape: Polyethylene tape or other plastic tape recommended by sealant manufacturer for preventing sealant from adhering to rigid, inflexible joint-filler materials or joint surfaces at back of joint where such adhesion would result in sealant failure. Provide self- adhesive tape where</w:t>
      </w:r>
      <w:r>
        <w:rPr>
          <w:spacing w:val="-1"/>
          <w:sz w:val="22"/>
        </w:rPr>
        <w:t> </w:t>
      </w:r>
      <w:r>
        <w:rPr>
          <w:sz w:val="22"/>
        </w:rPr>
        <w:t>applicable.</w:t>
      </w:r>
    </w:p>
    <w:p>
      <w:pPr>
        <w:pStyle w:val="BodyText"/>
        <w:ind w:firstLine="0"/>
        <w:rPr>
          <w:sz w:val="24"/>
        </w:rPr>
      </w:pPr>
    </w:p>
    <w:p>
      <w:pPr>
        <w:pStyle w:val="ListParagraph"/>
        <w:numPr>
          <w:ilvl w:val="1"/>
          <w:numId w:val="2"/>
        </w:numPr>
        <w:tabs>
          <w:tab w:pos="1024" w:val="left" w:leader="none"/>
          <w:tab w:pos="1025" w:val="left" w:leader="none"/>
        </w:tabs>
        <w:spacing w:line="240" w:lineRule="auto" w:before="206" w:after="0"/>
        <w:ind w:left="1024" w:right="0" w:hanging="864"/>
        <w:jc w:val="left"/>
        <w:rPr>
          <w:sz w:val="22"/>
        </w:rPr>
      </w:pPr>
      <w:r>
        <w:rPr>
          <w:sz w:val="22"/>
        </w:rPr>
        <w:t>MISCELLANEOUS</w:t>
      </w:r>
      <w:r>
        <w:rPr>
          <w:spacing w:val="-1"/>
          <w:sz w:val="22"/>
        </w:rPr>
        <w:t> </w:t>
      </w:r>
      <w:r>
        <w:rPr>
          <w:sz w:val="22"/>
        </w:rPr>
        <w:t>MATERIALS</w:t>
      </w:r>
    </w:p>
    <w:p>
      <w:pPr>
        <w:pStyle w:val="BodyText"/>
        <w:spacing w:before="9"/>
        <w:ind w:firstLine="0"/>
        <w:rPr>
          <w:sz w:val="20"/>
        </w:rPr>
      </w:pPr>
    </w:p>
    <w:p>
      <w:pPr>
        <w:pStyle w:val="ListParagraph"/>
        <w:numPr>
          <w:ilvl w:val="2"/>
          <w:numId w:val="2"/>
        </w:numPr>
        <w:tabs>
          <w:tab w:pos="1025" w:val="left" w:leader="none"/>
        </w:tabs>
        <w:spacing w:line="240" w:lineRule="auto" w:before="0" w:after="0"/>
        <w:ind w:left="1024" w:right="114" w:hanging="576"/>
        <w:jc w:val="both"/>
        <w:rPr>
          <w:sz w:val="22"/>
        </w:rPr>
      </w:pPr>
      <w:r>
        <w:rPr>
          <w:sz w:val="22"/>
        </w:rPr>
        <w:t>Primer: Material recommended by joint-sealant manufacturer where required for adhesion of sealant to joint substrates indicated, as determined from preconstruction joint-sealant-substrate tests and field</w:t>
      </w:r>
      <w:r>
        <w:rPr>
          <w:spacing w:val="-1"/>
          <w:sz w:val="22"/>
        </w:rPr>
        <w:t> </w:t>
      </w:r>
      <w:r>
        <w:rPr>
          <w:sz w:val="22"/>
        </w:rPr>
        <w:t>tests.</w:t>
      </w:r>
    </w:p>
    <w:p>
      <w:pPr>
        <w:pStyle w:val="BodyText"/>
        <w:ind w:firstLine="0"/>
        <w:rPr>
          <w:sz w:val="21"/>
        </w:rPr>
      </w:pPr>
    </w:p>
    <w:p>
      <w:pPr>
        <w:pStyle w:val="ListParagraph"/>
        <w:numPr>
          <w:ilvl w:val="2"/>
          <w:numId w:val="2"/>
        </w:numPr>
        <w:tabs>
          <w:tab w:pos="1025" w:val="left" w:leader="none"/>
        </w:tabs>
        <w:spacing w:line="240" w:lineRule="auto" w:before="0" w:after="0"/>
        <w:ind w:left="1024" w:right="114" w:hanging="576"/>
        <w:jc w:val="both"/>
        <w:rPr>
          <w:sz w:val="22"/>
        </w:rPr>
      </w:pPr>
      <w:r>
        <w:rPr>
          <w:sz w:val="22"/>
        </w:rPr>
        <w:t>Cleaners for Nonporous Surfaces: Chemical cleaners acceptable to manufacturers of sealants and sealant backing materials, free of oily residues or other substances capable of staining or harming joint substrates and adjacent nonporous surfaces in any way, and formulated to promote optimum adhesion of sealants to joint</w:t>
      </w:r>
      <w:r>
        <w:rPr>
          <w:spacing w:val="-13"/>
          <w:sz w:val="22"/>
        </w:rPr>
        <w:t> </w:t>
      </w:r>
      <w:r>
        <w:rPr>
          <w:sz w:val="22"/>
        </w:rPr>
        <w:t>substrates.</w:t>
      </w:r>
    </w:p>
    <w:p>
      <w:pPr>
        <w:pStyle w:val="BodyText"/>
        <w:spacing w:before="8"/>
        <w:ind w:firstLine="0"/>
        <w:rPr>
          <w:sz w:val="20"/>
        </w:rPr>
      </w:pPr>
    </w:p>
    <w:p>
      <w:pPr>
        <w:pStyle w:val="ListParagraph"/>
        <w:numPr>
          <w:ilvl w:val="2"/>
          <w:numId w:val="2"/>
        </w:numPr>
        <w:tabs>
          <w:tab w:pos="1025" w:val="left" w:leader="none"/>
        </w:tabs>
        <w:spacing w:line="242" w:lineRule="auto" w:before="1" w:after="0"/>
        <w:ind w:left="1024" w:right="124" w:hanging="576"/>
        <w:jc w:val="both"/>
        <w:rPr>
          <w:sz w:val="22"/>
        </w:rPr>
      </w:pPr>
      <w:r>
        <w:rPr>
          <w:sz w:val="22"/>
        </w:rPr>
        <w:t>Masking Tape: Nonstaining, nonabsorbent material compatible with joint sealants and surfaces adjacent to</w:t>
      </w:r>
      <w:r>
        <w:rPr>
          <w:spacing w:val="-3"/>
          <w:sz w:val="22"/>
        </w:rPr>
        <w:t> </w:t>
      </w:r>
      <w:r>
        <w:rPr>
          <w:sz w:val="22"/>
        </w:rPr>
        <w:t>joints.</w:t>
      </w:r>
    </w:p>
    <w:p>
      <w:pPr>
        <w:spacing w:after="0" w:line="242" w:lineRule="auto"/>
        <w:jc w:val="both"/>
        <w:rPr>
          <w:sz w:val="22"/>
        </w:rPr>
        <w:sectPr>
          <w:pgSz w:w="12240" w:h="15840"/>
          <w:pgMar w:header="722" w:footer="768" w:top="1340" w:bottom="960" w:left="1280" w:right="1320"/>
        </w:sectPr>
      </w:pPr>
    </w:p>
    <w:p>
      <w:pPr>
        <w:pStyle w:val="BodyText"/>
        <w:spacing w:before="81"/>
        <w:ind w:left="160" w:firstLine="0"/>
      </w:pPr>
      <w:r>
        <w:rPr/>
        <w:t>PART 3 - EXECUTION</w:t>
      </w:r>
    </w:p>
    <w:p>
      <w:pPr>
        <w:pStyle w:val="BodyText"/>
        <w:ind w:firstLine="0"/>
        <w:rPr>
          <w:sz w:val="24"/>
        </w:rPr>
      </w:pPr>
    </w:p>
    <w:p>
      <w:pPr>
        <w:pStyle w:val="ListParagraph"/>
        <w:numPr>
          <w:ilvl w:val="1"/>
          <w:numId w:val="4"/>
        </w:numPr>
        <w:tabs>
          <w:tab w:pos="1024" w:val="left" w:leader="none"/>
          <w:tab w:pos="1025" w:val="left" w:leader="none"/>
        </w:tabs>
        <w:spacing w:line="240" w:lineRule="auto" w:before="204" w:after="0"/>
        <w:ind w:left="1024" w:right="0" w:hanging="864"/>
        <w:jc w:val="left"/>
        <w:rPr>
          <w:sz w:val="22"/>
        </w:rPr>
      </w:pPr>
      <w:r>
        <w:rPr>
          <w:sz w:val="22"/>
        </w:rPr>
        <w:t>EXAMINATION</w:t>
      </w:r>
    </w:p>
    <w:p>
      <w:pPr>
        <w:pStyle w:val="BodyText"/>
        <w:spacing w:before="11"/>
        <w:ind w:firstLine="0"/>
        <w:rPr>
          <w:sz w:val="20"/>
        </w:rPr>
      </w:pPr>
    </w:p>
    <w:p>
      <w:pPr>
        <w:pStyle w:val="ListParagraph"/>
        <w:numPr>
          <w:ilvl w:val="2"/>
          <w:numId w:val="4"/>
        </w:numPr>
        <w:tabs>
          <w:tab w:pos="1025" w:val="left" w:leader="none"/>
        </w:tabs>
        <w:spacing w:line="240" w:lineRule="auto" w:before="0" w:after="0"/>
        <w:ind w:left="1024" w:right="112" w:hanging="576"/>
        <w:jc w:val="both"/>
        <w:rPr>
          <w:sz w:val="22"/>
        </w:rPr>
      </w:pPr>
      <w:r>
        <w:rPr>
          <w:sz w:val="22"/>
        </w:rPr>
        <w:t>Examine joints indicated to receive joint sealants, with Installer present, for compliance with requirements for joint configuration, installation tolerances, and other conditions affecting joint- sealant</w:t>
      </w:r>
      <w:r>
        <w:rPr>
          <w:spacing w:val="-2"/>
          <w:sz w:val="22"/>
        </w:rPr>
        <w:t> </w:t>
      </w:r>
      <w:r>
        <w:rPr>
          <w:sz w:val="22"/>
        </w:rPr>
        <w:t>performance.</w:t>
      </w:r>
    </w:p>
    <w:p>
      <w:pPr>
        <w:pStyle w:val="BodyText"/>
        <w:spacing w:before="9"/>
        <w:ind w:firstLine="0"/>
        <w:rPr>
          <w:sz w:val="20"/>
        </w:rPr>
      </w:pPr>
    </w:p>
    <w:p>
      <w:pPr>
        <w:pStyle w:val="ListParagraph"/>
        <w:numPr>
          <w:ilvl w:val="2"/>
          <w:numId w:val="4"/>
        </w:numPr>
        <w:tabs>
          <w:tab w:pos="1024" w:val="left" w:leader="none"/>
          <w:tab w:pos="1025" w:val="left" w:leader="none"/>
        </w:tabs>
        <w:spacing w:line="240" w:lineRule="auto" w:before="0" w:after="0"/>
        <w:ind w:left="1024" w:right="0" w:hanging="576"/>
        <w:jc w:val="left"/>
        <w:rPr>
          <w:sz w:val="22"/>
        </w:rPr>
      </w:pPr>
      <w:r>
        <w:rPr>
          <w:sz w:val="22"/>
        </w:rPr>
        <w:t>Proceed with installation only after unsatisfactory conditions have been</w:t>
      </w:r>
      <w:r>
        <w:rPr>
          <w:spacing w:val="-15"/>
          <w:sz w:val="22"/>
        </w:rPr>
        <w:t> </w:t>
      </w:r>
      <w:r>
        <w:rPr>
          <w:sz w:val="22"/>
        </w:rPr>
        <w:t>corrected.</w:t>
      </w:r>
    </w:p>
    <w:p>
      <w:pPr>
        <w:pStyle w:val="BodyText"/>
        <w:ind w:firstLine="0"/>
        <w:rPr>
          <w:sz w:val="24"/>
        </w:rPr>
      </w:pPr>
    </w:p>
    <w:p>
      <w:pPr>
        <w:pStyle w:val="ListParagraph"/>
        <w:numPr>
          <w:ilvl w:val="1"/>
          <w:numId w:val="4"/>
        </w:numPr>
        <w:tabs>
          <w:tab w:pos="1024" w:val="left" w:leader="none"/>
          <w:tab w:pos="1025" w:val="left" w:leader="none"/>
        </w:tabs>
        <w:spacing w:line="240" w:lineRule="auto" w:before="203" w:after="0"/>
        <w:ind w:left="1024" w:right="0" w:hanging="864"/>
        <w:jc w:val="left"/>
        <w:rPr>
          <w:sz w:val="22"/>
        </w:rPr>
      </w:pPr>
      <w:r>
        <w:rPr>
          <w:sz w:val="22"/>
        </w:rPr>
        <w:t>PREPARATION</w:t>
      </w:r>
    </w:p>
    <w:p>
      <w:pPr>
        <w:pStyle w:val="BodyText"/>
        <w:ind w:firstLine="0"/>
        <w:rPr>
          <w:sz w:val="21"/>
        </w:rPr>
      </w:pPr>
    </w:p>
    <w:p>
      <w:pPr>
        <w:pStyle w:val="ListParagraph"/>
        <w:numPr>
          <w:ilvl w:val="2"/>
          <w:numId w:val="4"/>
        </w:numPr>
        <w:tabs>
          <w:tab w:pos="1025" w:val="left" w:leader="none"/>
        </w:tabs>
        <w:spacing w:line="240" w:lineRule="auto" w:before="0" w:after="0"/>
        <w:ind w:left="1024" w:right="123" w:hanging="576"/>
        <w:jc w:val="both"/>
        <w:rPr>
          <w:sz w:val="22"/>
        </w:rPr>
      </w:pPr>
      <w:r>
        <w:rPr>
          <w:sz w:val="22"/>
        </w:rPr>
        <w:t>Surface Cleaning of Joints: Clean out joints immediately before installing joint sealants to comply with joint-sealant manufacturer's written instructions and the following</w:t>
      </w:r>
      <w:r>
        <w:rPr>
          <w:spacing w:val="-24"/>
          <w:sz w:val="22"/>
        </w:rPr>
        <w:t> </w:t>
      </w:r>
      <w:r>
        <w:rPr>
          <w:sz w:val="22"/>
        </w:rPr>
        <w:t>requirements:</w:t>
      </w:r>
    </w:p>
    <w:p>
      <w:pPr>
        <w:pStyle w:val="BodyText"/>
        <w:ind w:firstLine="0"/>
        <w:rPr>
          <w:sz w:val="21"/>
        </w:rPr>
      </w:pPr>
    </w:p>
    <w:p>
      <w:pPr>
        <w:pStyle w:val="ListParagraph"/>
        <w:numPr>
          <w:ilvl w:val="3"/>
          <w:numId w:val="4"/>
        </w:numPr>
        <w:tabs>
          <w:tab w:pos="1601" w:val="left" w:leader="none"/>
        </w:tabs>
        <w:spacing w:line="240" w:lineRule="auto" w:before="0" w:after="0"/>
        <w:ind w:left="1600" w:right="117" w:hanging="576"/>
        <w:jc w:val="both"/>
        <w:rPr>
          <w:sz w:val="22"/>
        </w:rPr>
      </w:pPr>
      <w:r>
        <w:rPr>
          <w:sz w:val="22"/>
        </w:rPr>
        <w:t>Remove all foreign material from joint substrates that could interfere with adhesion of joint sealant, including dust, paints (except for permanent, protective coatings tested and approved for sealant adhesion and compatibility by sealant manufacturer), old joint sealants, oil, grease, waterproofing, water repellents, water, surface dirt, and</w:t>
      </w:r>
      <w:r>
        <w:rPr>
          <w:spacing w:val="-13"/>
          <w:sz w:val="22"/>
        </w:rPr>
        <w:t> </w:t>
      </w:r>
      <w:r>
        <w:rPr>
          <w:sz w:val="22"/>
        </w:rPr>
        <w:t>frost.</w:t>
      </w:r>
    </w:p>
    <w:p>
      <w:pPr>
        <w:pStyle w:val="ListParagraph"/>
        <w:numPr>
          <w:ilvl w:val="3"/>
          <w:numId w:val="4"/>
        </w:numPr>
        <w:tabs>
          <w:tab w:pos="1601" w:val="left" w:leader="none"/>
        </w:tabs>
        <w:spacing w:line="240" w:lineRule="auto" w:before="0" w:after="0"/>
        <w:ind w:left="1600" w:right="115" w:hanging="576"/>
        <w:jc w:val="both"/>
        <w:rPr>
          <w:sz w:val="22"/>
        </w:rPr>
      </w:pPr>
      <w:r>
        <w:rPr>
          <w:sz w:val="22"/>
        </w:rPr>
        <w:t>Clean porous joint substrate surfaces by brushing, grinding, blast cleaning, mechanical abrading, or a combination of these methods to produce a clean, sound substrate capable of developing optimum bond with joint sealants. Remove loose particles remaining after cleaning operations above by vacuuming or blowing out joints with oil-free compressed air. Porous joint substrates include the</w:t>
      </w:r>
      <w:r>
        <w:rPr>
          <w:spacing w:val="-11"/>
          <w:sz w:val="22"/>
        </w:rPr>
        <w:t> </w:t>
      </w:r>
      <w:r>
        <w:rPr>
          <w:sz w:val="22"/>
        </w:rPr>
        <w:t>following:</w:t>
      </w:r>
    </w:p>
    <w:p>
      <w:pPr>
        <w:pStyle w:val="BodyText"/>
        <w:spacing w:before="8"/>
        <w:ind w:firstLine="0"/>
        <w:rPr>
          <w:sz w:val="20"/>
        </w:rPr>
      </w:pPr>
    </w:p>
    <w:p>
      <w:pPr>
        <w:pStyle w:val="ListParagraph"/>
        <w:numPr>
          <w:ilvl w:val="4"/>
          <w:numId w:val="4"/>
        </w:numPr>
        <w:tabs>
          <w:tab w:pos="2176" w:val="left" w:leader="none"/>
          <w:tab w:pos="2177" w:val="left" w:leader="none"/>
        </w:tabs>
        <w:spacing w:line="240" w:lineRule="auto" w:before="0" w:after="0"/>
        <w:ind w:left="2176" w:right="0" w:hanging="576"/>
        <w:jc w:val="left"/>
        <w:rPr>
          <w:sz w:val="22"/>
        </w:rPr>
      </w:pPr>
      <w:r>
        <w:rPr>
          <w:sz w:val="22"/>
        </w:rPr>
        <w:t>Concrete.</w:t>
      </w:r>
    </w:p>
    <w:p>
      <w:pPr>
        <w:pStyle w:val="ListParagraph"/>
        <w:numPr>
          <w:ilvl w:val="4"/>
          <w:numId w:val="4"/>
        </w:numPr>
        <w:tabs>
          <w:tab w:pos="2176" w:val="left" w:leader="none"/>
          <w:tab w:pos="2177" w:val="left" w:leader="none"/>
        </w:tabs>
        <w:spacing w:line="253" w:lineRule="exact" w:before="2" w:after="0"/>
        <w:ind w:left="2176" w:right="0" w:hanging="576"/>
        <w:jc w:val="left"/>
        <w:rPr>
          <w:sz w:val="22"/>
        </w:rPr>
      </w:pPr>
      <w:r>
        <w:rPr>
          <w:sz w:val="22"/>
        </w:rPr>
        <w:t>Masonry.</w:t>
      </w:r>
    </w:p>
    <w:p>
      <w:pPr>
        <w:pStyle w:val="ListParagraph"/>
        <w:numPr>
          <w:ilvl w:val="4"/>
          <w:numId w:val="4"/>
        </w:numPr>
        <w:tabs>
          <w:tab w:pos="2176" w:val="left" w:leader="none"/>
          <w:tab w:pos="2177" w:val="left" w:leader="none"/>
        </w:tabs>
        <w:spacing w:line="253" w:lineRule="exact" w:before="0" w:after="0"/>
        <w:ind w:left="2176" w:right="0" w:hanging="576"/>
        <w:jc w:val="left"/>
        <w:rPr>
          <w:sz w:val="22"/>
        </w:rPr>
      </w:pPr>
      <w:r>
        <w:rPr>
          <w:sz w:val="22"/>
        </w:rPr>
        <w:t>Unglazed surfaces of ceramic</w:t>
      </w:r>
      <w:r>
        <w:rPr>
          <w:spacing w:val="-3"/>
          <w:sz w:val="22"/>
        </w:rPr>
        <w:t> </w:t>
      </w:r>
      <w:r>
        <w:rPr>
          <w:sz w:val="22"/>
        </w:rPr>
        <w:t>tile.</w:t>
      </w:r>
    </w:p>
    <w:p>
      <w:pPr>
        <w:pStyle w:val="BodyText"/>
        <w:ind w:firstLine="0"/>
        <w:rPr>
          <w:sz w:val="21"/>
        </w:rPr>
      </w:pPr>
    </w:p>
    <w:p>
      <w:pPr>
        <w:pStyle w:val="ListParagraph"/>
        <w:numPr>
          <w:ilvl w:val="3"/>
          <w:numId w:val="4"/>
        </w:numPr>
        <w:tabs>
          <w:tab w:pos="1600" w:val="left" w:leader="none"/>
          <w:tab w:pos="1601" w:val="left" w:leader="none"/>
        </w:tabs>
        <w:spacing w:line="252" w:lineRule="exact" w:before="0" w:after="0"/>
        <w:ind w:left="1600" w:right="0" w:hanging="576"/>
        <w:jc w:val="left"/>
        <w:rPr>
          <w:sz w:val="22"/>
        </w:rPr>
      </w:pPr>
      <w:r>
        <w:rPr>
          <w:sz w:val="22"/>
        </w:rPr>
        <w:t>Remove laitance and form-release agents from</w:t>
      </w:r>
      <w:r>
        <w:rPr>
          <w:spacing w:val="-10"/>
          <w:sz w:val="22"/>
        </w:rPr>
        <w:t> </w:t>
      </w:r>
      <w:r>
        <w:rPr>
          <w:sz w:val="22"/>
        </w:rPr>
        <w:t>concrete.</w:t>
      </w:r>
    </w:p>
    <w:p>
      <w:pPr>
        <w:pStyle w:val="ListParagraph"/>
        <w:numPr>
          <w:ilvl w:val="3"/>
          <w:numId w:val="4"/>
        </w:numPr>
        <w:tabs>
          <w:tab w:pos="1601" w:val="left" w:leader="none"/>
        </w:tabs>
        <w:spacing w:line="240" w:lineRule="auto" w:before="0" w:after="0"/>
        <w:ind w:left="1600" w:right="116" w:hanging="576"/>
        <w:jc w:val="both"/>
        <w:rPr>
          <w:sz w:val="22"/>
        </w:rPr>
      </w:pPr>
      <w:r>
        <w:rPr>
          <w:sz w:val="22"/>
        </w:rPr>
        <w:t>Clean nonporous surfaces with chemical cleaners or other means that do not stain, harm substrates, or leave residues capable of interfering with adhesion of joint sealants. Nonporous joint substrates include the</w:t>
      </w:r>
      <w:r>
        <w:rPr>
          <w:spacing w:val="-8"/>
          <w:sz w:val="22"/>
        </w:rPr>
        <w:t> </w:t>
      </w:r>
      <w:r>
        <w:rPr>
          <w:sz w:val="22"/>
        </w:rPr>
        <w:t>following:</w:t>
      </w:r>
    </w:p>
    <w:p>
      <w:pPr>
        <w:pStyle w:val="BodyText"/>
        <w:spacing w:before="9"/>
        <w:ind w:firstLine="0"/>
        <w:rPr>
          <w:sz w:val="20"/>
        </w:rPr>
      </w:pPr>
    </w:p>
    <w:p>
      <w:pPr>
        <w:pStyle w:val="ListParagraph"/>
        <w:numPr>
          <w:ilvl w:val="4"/>
          <w:numId w:val="4"/>
        </w:numPr>
        <w:tabs>
          <w:tab w:pos="2176" w:val="left" w:leader="none"/>
          <w:tab w:pos="2177" w:val="left" w:leader="none"/>
        </w:tabs>
        <w:spacing w:line="240" w:lineRule="auto" w:before="0" w:after="0"/>
        <w:ind w:left="2176" w:right="0" w:hanging="576"/>
        <w:jc w:val="left"/>
        <w:rPr>
          <w:sz w:val="22"/>
        </w:rPr>
      </w:pPr>
      <w:r>
        <w:rPr>
          <w:sz w:val="22"/>
        </w:rPr>
        <w:t>Metal.</w:t>
      </w:r>
    </w:p>
    <w:p>
      <w:pPr>
        <w:pStyle w:val="ListParagraph"/>
        <w:numPr>
          <w:ilvl w:val="4"/>
          <w:numId w:val="4"/>
        </w:numPr>
        <w:tabs>
          <w:tab w:pos="2176" w:val="left" w:leader="none"/>
          <w:tab w:pos="2177" w:val="left" w:leader="none"/>
        </w:tabs>
        <w:spacing w:line="252" w:lineRule="exact" w:before="1" w:after="0"/>
        <w:ind w:left="2176" w:right="0" w:hanging="576"/>
        <w:jc w:val="left"/>
        <w:rPr>
          <w:sz w:val="22"/>
        </w:rPr>
      </w:pPr>
      <w:r>
        <w:rPr>
          <w:sz w:val="22"/>
        </w:rPr>
        <w:t>Glass.</w:t>
      </w:r>
    </w:p>
    <w:p>
      <w:pPr>
        <w:pStyle w:val="ListParagraph"/>
        <w:numPr>
          <w:ilvl w:val="4"/>
          <w:numId w:val="4"/>
        </w:numPr>
        <w:tabs>
          <w:tab w:pos="2176" w:val="left" w:leader="none"/>
          <w:tab w:pos="2177" w:val="left" w:leader="none"/>
        </w:tabs>
        <w:spacing w:line="252" w:lineRule="exact" w:before="0" w:after="0"/>
        <w:ind w:left="2176" w:right="0" w:hanging="576"/>
        <w:jc w:val="left"/>
        <w:rPr>
          <w:sz w:val="22"/>
        </w:rPr>
      </w:pPr>
      <w:r>
        <w:rPr>
          <w:sz w:val="22"/>
        </w:rPr>
        <w:t>Porcelain</w:t>
      </w:r>
      <w:r>
        <w:rPr>
          <w:spacing w:val="-1"/>
          <w:sz w:val="22"/>
        </w:rPr>
        <w:t> </w:t>
      </w:r>
      <w:r>
        <w:rPr>
          <w:sz w:val="22"/>
        </w:rPr>
        <w:t>enamel.</w:t>
      </w:r>
    </w:p>
    <w:p>
      <w:pPr>
        <w:pStyle w:val="ListParagraph"/>
        <w:numPr>
          <w:ilvl w:val="4"/>
          <w:numId w:val="4"/>
        </w:numPr>
        <w:tabs>
          <w:tab w:pos="2176" w:val="left" w:leader="none"/>
          <w:tab w:pos="2177" w:val="left" w:leader="none"/>
        </w:tabs>
        <w:spacing w:line="252" w:lineRule="exact" w:before="0" w:after="0"/>
        <w:ind w:left="2176" w:right="0" w:hanging="576"/>
        <w:jc w:val="left"/>
        <w:rPr>
          <w:sz w:val="22"/>
        </w:rPr>
      </w:pPr>
      <w:r>
        <w:rPr>
          <w:sz w:val="22"/>
        </w:rPr>
        <w:t>Glazed surfaces of ceramic</w:t>
      </w:r>
      <w:r>
        <w:rPr>
          <w:spacing w:val="-3"/>
          <w:sz w:val="22"/>
        </w:rPr>
        <w:t> </w:t>
      </w:r>
      <w:r>
        <w:rPr>
          <w:sz w:val="22"/>
        </w:rPr>
        <w:t>tile.</w:t>
      </w:r>
    </w:p>
    <w:p>
      <w:pPr>
        <w:pStyle w:val="BodyText"/>
        <w:ind w:firstLine="0"/>
        <w:rPr>
          <w:sz w:val="21"/>
        </w:rPr>
      </w:pPr>
    </w:p>
    <w:p>
      <w:pPr>
        <w:pStyle w:val="ListParagraph"/>
        <w:numPr>
          <w:ilvl w:val="2"/>
          <w:numId w:val="4"/>
        </w:numPr>
        <w:tabs>
          <w:tab w:pos="1025" w:val="left" w:leader="none"/>
        </w:tabs>
        <w:spacing w:line="240" w:lineRule="auto" w:before="0" w:after="0"/>
        <w:ind w:left="1024" w:right="115" w:hanging="576"/>
        <w:jc w:val="both"/>
        <w:rPr>
          <w:sz w:val="22"/>
        </w:rPr>
      </w:pPr>
      <w:r>
        <w:rPr>
          <w:sz w:val="22"/>
        </w:rPr>
        <w:t>Joint Priming: Prime joint substrates, where recommended in writing by joint-sealant manufacturer, based on preconstruction joint-sealant-substrate tests or prior experience. Apply primer to comply with joint-sealant manufacturer's written instructions. Confine primers to areas of joint-sealant bond; do not allow spillage or migration onto adjoining</w:t>
      </w:r>
      <w:r>
        <w:rPr>
          <w:spacing w:val="-23"/>
          <w:sz w:val="22"/>
        </w:rPr>
        <w:t> </w:t>
      </w:r>
      <w:r>
        <w:rPr>
          <w:sz w:val="22"/>
        </w:rPr>
        <w:t>surfaces.</w:t>
      </w:r>
    </w:p>
    <w:p>
      <w:pPr>
        <w:pStyle w:val="BodyText"/>
        <w:spacing w:before="9"/>
        <w:ind w:firstLine="0"/>
        <w:rPr>
          <w:sz w:val="20"/>
        </w:rPr>
      </w:pPr>
    </w:p>
    <w:p>
      <w:pPr>
        <w:pStyle w:val="ListParagraph"/>
        <w:numPr>
          <w:ilvl w:val="2"/>
          <w:numId w:val="4"/>
        </w:numPr>
        <w:tabs>
          <w:tab w:pos="1025" w:val="left" w:leader="none"/>
        </w:tabs>
        <w:spacing w:line="240" w:lineRule="auto" w:before="0" w:after="0"/>
        <w:ind w:left="1024" w:right="114" w:hanging="576"/>
        <w:jc w:val="both"/>
        <w:rPr>
          <w:sz w:val="22"/>
        </w:rPr>
      </w:pPr>
      <w:r>
        <w:rPr>
          <w:sz w:val="22"/>
        </w:rPr>
        <w:t>Masking Tape: Use masking tape where required to prevent contact of sealant with adjoining surfaces that otherwise would be permanently stained or damaged by such contact or by cleaning methods required to remove sealant smears. Remove tape immediately after tooling without disturbing joint</w:t>
      </w:r>
      <w:r>
        <w:rPr>
          <w:spacing w:val="-7"/>
          <w:sz w:val="22"/>
        </w:rPr>
        <w:t> </w:t>
      </w:r>
      <w:r>
        <w:rPr>
          <w:sz w:val="22"/>
        </w:rPr>
        <w:t>seal.</w:t>
      </w:r>
    </w:p>
    <w:p>
      <w:pPr>
        <w:spacing w:after="0" w:line="240" w:lineRule="auto"/>
        <w:jc w:val="both"/>
        <w:rPr>
          <w:sz w:val="22"/>
        </w:rPr>
        <w:sectPr>
          <w:pgSz w:w="12240" w:h="15840"/>
          <w:pgMar w:header="722" w:footer="768" w:top="1340" w:bottom="960" w:left="1280" w:right="1320"/>
        </w:sectPr>
      </w:pPr>
    </w:p>
    <w:p>
      <w:pPr>
        <w:pStyle w:val="ListParagraph"/>
        <w:numPr>
          <w:ilvl w:val="1"/>
          <w:numId w:val="4"/>
        </w:numPr>
        <w:tabs>
          <w:tab w:pos="1024" w:val="left" w:leader="none"/>
          <w:tab w:pos="1025" w:val="left" w:leader="none"/>
        </w:tabs>
        <w:spacing w:line="240" w:lineRule="auto" w:before="81" w:after="0"/>
        <w:ind w:left="1024" w:right="0" w:hanging="864"/>
        <w:jc w:val="left"/>
        <w:rPr>
          <w:sz w:val="22"/>
        </w:rPr>
      </w:pPr>
      <w:r>
        <w:rPr>
          <w:sz w:val="22"/>
        </w:rPr>
        <w:t>INSTALLATION OF JOINT</w:t>
      </w:r>
      <w:r>
        <w:rPr>
          <w:spacing w:val="-1"/>
          <w:sz w:val="22"/>
        </w:rPr>
        <w:t> </w:t>
      </w:r>
      <w:r>
        <w:rPr>
          <w:sz w:val="22"/>
        </w:rPr>
        <w:t>SEALANTS</w:t>
      </w:r>
    </w:p>
    <w:p>
      <w:pPr>
        <w:pStyle w:val="BodyText"/>
        <w:spacing w:before="9"/>
        <w:ind w:firstLine="0"/>
        <w:rPr>
          <w:sz w:val="20"/>
        </w:rPr>
      </w:pPr>
    </w:p>
    <w:p>
      <w:pPr>
        <w:pStyle w:val="ListParagraph"/>
        <w:numPr>
          <w:ilvl w:val="2"/>
          <w:numId w:val="4"/>
        </w:numPr>
        <w:tabs>
          <w:tab w:pos="1025" w:val="left" w:leader="none"/>
        </w:tabs>
        <w:spacing w:line="240" w:lineRule="auto" w:before="1" w:after="0"/>
        <w:ind w:left="1024" w:right="114" w:hanging="576"/>
        <w:jc w:val="both"/>
        <w:rPr>
          <w:sz w:val="22"/>
        </w:rPr>
      </w:pPr>
      <w:r>
        <w:rPr>
          <w:sz w:val="22"/>
        </w:rPr>
        <w:t>General: Comply with joint-sealant manufacturer's written installation instructions for products and applications indicated, unless more stringent requirements</w:t>
      </w:r>
      <w:r>
        <w:rPr>
          <w:spacing w:val="-5"/>
          <w:sz w:val="22"/>
        </w:rPr>
        <w:t> </w:t>
      </w:r>
      <w:r>
        <w:rPr>
          <w:sz w:val="22"/>
        </w:rPr>
        <w:t>apply.</w:t>
      </w:r>
    </w:p>
    <w:p>
      <w:pPr>
        <w:pStyle w:val="BodyText"/>
        <w:spacing w:before="10"/>
        <w:ind w:firstLine="0"/>
        <w:rPr>
          <w:sz w:val="20"/>
        </w:rPr>
      </w:pPr>
    </w:p>
    <w:p>
      <w:pPr>
        <w:pStyle w:val="ListParagraph"/>
        <w:numPr>
          <w:ilvl w:val="2"/>
          <w:numId w:val="4"/>
        </w:numPr>
        <w:tabs>
          <w:tab w:pos="1025" w:val="left" w:leader="none"/>
        </w:tabs>
        <w:spacing w:line="240" w:lineRule="auto" w:before="0" w:after="0"/>
        <w:ind w:left="1024" w:right="116" w:hanging="576"/>
        <w:jc w:val="both"/>
        <w:rPr>
          <w:sz w:val="22"/>
        </w:rPr>
      </w:pPr>
      <w:r>
        <w:rPr>
          <w:sz w:val="22"/>
        </w:rPr>
        <w:t>Sealant Installation Standard: Comply with recommendations in ASTM C 1193 for use of joint sealants as applicable to materials, applications, and conditions</w:t>
      </w:r>
      <w:r>
        <w:rPr>
          <w:spacing w:val="-8"/>
          <w:sz w:val="22"/>
        </w:rPr>
        <w:t> </w:t>
      </w:r>
      <w:r>
        <w:rPr>
          <w:sz w:val="22"/>
        </w:rPr>
        <w:t>indicated.</w:t>
      </w:r>
    </w:p>
    <w:p>
      <w:pPr>
        <w:pStyle w:val="BodyText"/>
        <w:spacing w:before="10"/>
        <w:ind w:firstLine="0"/>
        <w:rPr>
          <w:sz w:val="20"/>
        </w:rPr>
      </w:pPr>
    </w:p>
    <w:p>
      <w:pPr>
        <w:pStyle w:val="ListParagraph"/>
        <w:numPr>
          <w:ilvl w:val="2"/>
          <w:numId w:val="4"/>
        </w:numPr>
        <w:tabs>
          <w:tab w:pos="1025" w:val="left" w:leader="none"/>
        </w:tabs>
        <w:spacing w:line="240" w:lineRule="auto" w:before="0" w:after="0"/>
        <w:ind w:left="1024" w:right="114" w:hanging="576"/>
        <w:jc w:val="both"/>
        <w:rPr>
          <w:sz w:val="22"/>
        </w:rPr>
      </w:pPr>
      <w:r>
        <w:rPr>
          <w:sz w:val="22"/>
        </w:rPr>
        <w:t>Acoustical Sealant Application Standard: Comply with recommendations in ASTM C 919 for use of joint sealants in acoustical applications as applicable to materials, applications, and conditions</w:t>
      </w:r>
      <w:r>
        <w:rPr>
          <w:spacing w:val="-3"/>
          <w:sz w:val="22"/>
        </w:rPr>
        <w:t> </w:t>
      </w:r>
      <w:r>
        <w:rPr>
          <w:sz w:val="22"/>
        </w:rPr>
        <w:t>indicated.</w:t>
      </w:r>
    </w:p>
    <w:p>
      <w:pPr>
        <w:pStyle w:val="BodyText"/>
        <w:spacing w:before="10"/>
        <w:ind w:firstLine="0"/>
        <w:rPr>
          <w:sz w:val="20"/>
        </w:rPr>
      </w:pPr>
    </w:p>
    <w:p>
      <w:pPr>
        <w:pStyle w:val="ListParagraph"/>
        <w:numPr>
          <w:ilvl w:val="2"/>
          <w:numId w:val="4"/>
        </w:numPr>
        <w:tabs>
          <w:tab w:pos="1025" w:val="left" w:leader="none"/>
        </w:tabs>
        <w:spacing w:line="240" w:lineRule="auto" w:before="0" w:after="0"/>
        <w:ind w:left="1024" w:right="114" w:hanging="576"/>
        <w:jc w:val="both"/>
        <w:rPr>
          <w:sz w:val="22"/>
        </w:rPr>
      </w:pPr>
      <w:r>
        <w:rPr>
          <w:sz w:val="22"/>
        </w:rPr>
        <w:t>Install sealant backings of type indicated to support sealants during application and at position required to produce cross-sectional shapes and depths of installed sealants relative to joint widths that allow optimum sealant movement</w:t>
      </w:r>
      <w:r>
        <w:rPr>
          <w:spacing w:val="-7"/>
          <w:sz w:val="22"/>
        </w:rPr>
        <w:t> </w:t>
      </w:r>
      <w:r>
        <w:rPr>
          <w:sz w:val="22"/>
        </w:rPr>
        <w:t>capability.</w:t>
      </w:r>
    </w:p>
    <w:p>
      <w:pPr>
        <w:pStyle w:val="BodyText"/>
        <w:spacing w:before="10"/>
        <w:ind w:firstLine="0"/>
        <w:rPr>
          <w:sz w:val="20"/>
        </w:rPr>
      </w:pPr>
    </w:p>
    <w:p>
      <w:pPr>
        <w:pStyle w:val="ListParagraph"/>
        <w:numPr>
          <w:ilvl w:val="3"/>
          <w:numId w:val="4"/>
        </w:numPr>
        <w:tabs>
          <w:tab w:pos="1600" w:val="left" w:leader="none"/>
          <w:tab w:pos="1601" w:val="left" w:leader="none"/>
        </w:tabs>
        <w:spacing w:line="240" w:lineRule="auto" w:before="0" w:after="0"/>
        <w:ind w:left="1600" w:right="0" w:hanging="576"/>
        <w:jc w:val="left"/>
        <w:rPr>
          <w:sz w:val="22"/>
        </w:rPr>
      </w:pPr>
      <w:r>
        <w:rPr>
          <w:sz w:val="22"/>
        </w:rPr>
        <w:t>Do not leave gaps between ends of sealant</w:t>
      </w:r>
      <w:r>
        <w:rPr>
          <w:spacing w:val="-6"/>
          <w:sz w:val="22"/>
        </w:rPr>
        <w:t> </w:t>
      </w:r>
      <w:r>
        <w:rPr>
          <w:sz w:val="22"/>
        </w:rPr>
        <w:t>backings.</w:t>
      </w:r>
    </w:p>
    <w:p>
      <w:pPr>
        <w:pStyle w:val="ListParagraph"/>
        <w:numPr>
          <w:ilvl w:val="3"/>
          <w:numId w:val="4"/>
        </w:numPr>
        <w:tabs>
          <w:tab w:pos="1600" w:val="left" w:leader="none"/>
          <w:tab w:pos="1601" w:val="left" w:leader="none"/>
        </w:tabs>
        <w:spacing w:line="252" w:lineRule="exact" w:before="1" w:after="0"/>
        <w:ind w:left="1600" w:right="0" w:hanging="576"/>
        <w:jc w:val="left"/>
        <w:rPr>
          <w:sz w:val="22"/>
        </w:rPr>
      </w:pPr>
      <w:r>
        <w:rPr>
          <w:sz w:val="22"/>
        </w:rPr>
        <w:t>Do not stretch, twist, puncture, or tear sealant</w:t>
      </w:r>
      <w:r>
        <w:rPr>
          <w:spacing w:val="-3"/>
          <w:sz w:val="22"/>
        </w:rPr>
        <w:t> </w:t>
      </w:r>
      <w:r>
        <w:rPr>
          <w:sz w:val="22"/>
        </w:rPr>
        <w:t>backings.</w:t>
      </w:r>
    </w:p>
    <w:p>
      <w:pPr>
        <w:pStyle w:val="ListParagraph"/>
        <w:numPr>
          <w:ilvl w:val="3"/>
          <w:numId w:val="4"/>
        </w:numPr>
        <w:tabs>
          <w:tab w:pos="1600" w:val="left" w:leader="none"/>
          <w:tab w:pos="1601" w:val="left" w:leader="none"/>
        </w:tabs>
        <w:spacing w:line="240" w:lineRule="auto" w:before="0" w:after="0"/>
        <w:ind w:left="1600" w:right="122" w:hanging="576"/>
        <w:jc w:val="left"/>
        <w:rPr>
          <w:sz w:val="22"/>
        </w:rPr>
      </w:pPr>
      <w:r>
        <w:rPr>
          <w:sz w:val="22"/>
        </w:rPr>
        <w:t>Remove absorbent sealant backings that have become wet before sealant application and replace them with dry</w:t>
      </w:r>
      <w:r>
        <w:rPr>
          <w:spacing w:val="-12"/>
          <w:sz w:val="22"/>
        </w:rPr>
        <w:t> </w:t>
      </w:r>
      <w:r>
        <w:rPr>
          <w:sz w:val="22"/>
        </w:rPr>
        <w:t>materials.</w:t>
      </w:r>
    </w:p>
    <w:p>
      <w:pPr>
        <w:pStyle w:val="BodyText"/>
        <w:spacing w:before="10"/>
        <w:ind w:firstLine="0"/>
        <w:rPr>
          <w:sz w:val="20"/>
        </w:rPr>
      </w:pPr>
    </w:p>
    <w:p>
      <w:pPr>
        <w:pStyle w:val="ListParagraph"/>
        <w:numPr>
          <w:ilvl w:val="2"/>
          <w:numId w:val="4"/>
        </w:numPr>
        <w:tabs>
          <w:tab w:pos="1025" w:val="left" w:leader="none"/>
        </w:tabs>
        <w:spacing w:line="240" w:lineRule="auto" w:before="0" w:after="0"/>
        <w:ind w:left="1024" w:right="122" w:hanging="576"/>
        <w:jc w:val="both"/>
        <w:rPr>
          <w:sz w:val="22"/>
        </w:rPr>
      </w:pPr>
      <w:r>
        <w:rPr>
          <w:sz w:val="22"/>
        </w:rPr>
        <w:t>Install bond-breaker tape behind sealants where sealant backings are not used between sealants and backs of</w:t>
      </w:r>
      <w:r>
        <w:rPr>
          <w:spacing w:val="-3"/>
          <w:sz w:val="22"/>
        </w:rPr>
        <w:t> </w:t>
      </w:r>
      <w:r>
        <w:rPr>
          <w:sz w:val="22"/>
        </w:rPr>
        <w:t>joints.</w:t>
      </w:r>
    </w:p>
    <w:p>
      <w:pPr>
        <w:pStyle w:val="BodyText"/>
        <w:spacing w:before="11"/>
        <w:ind w:firstLine="0"/>
        <w:rPr>
          <w:sz w:val="20"/>
        </w:rPr>
      </w:pPr>
    </w:p>
    <w:p>
      <w:pPr>
        <w:pStyle w:val="ListParagraph"/>
        <w:numPr>
          <w:ilvl w:val="2"/>
          <w:numId w:val="4"/>
        </w:numPr>
        <w:tabs>
          <w:tab w:pos="1025" w:val="left" w:leader="none"/>
        </w:tabs>
        <w:spacing w:line="240" w:lineRule="auto" w:before="0" w:after="0"/>
        <w:ind w:left="1024" w:right="121" w:hanging="576"/>
        <w:jc w:val="both"/>
        <w:rPr>
          <w:sz w:val="22"/>
        </w:rPr>
      </w:pPr>
      <w:r>
        <w:rPr>
          <w:sz w:val="22"/>
        </w:rPr>
        <w:t>Install sealants using proven techniques that comply with the following and at the same time backings are</w:t>
      </w:r>
      <w:r>
        <w:rPr>
          <w:spacing w:val="-3"/>
          <w:sz w:val="22"/>
        </w:rPr>
        <w:t> </w:t>
      </w:r>
      <w:r>
        <w:rPr>
          <w:sz w:val="22"/>
        </w:rPr>
        <w:t>installed:</w:t>
      </w:r>
    </w:p>
    <w:p>
      <w:pPr>
        <w:pStyle w:val="BodyText"/>
        <w:spacing w:before="10"/>
        <w:ind w:firstLine="0"/>
        <w:rPr>
          <w:sz w:val="20"/>
        </w:rPr>
      </w:pPr>
    </w:p>
    <w:p>
      <w:pPr>
        <w:pStyle w:val="ListParagraph"/>
        <w:numPr>
          <w:ilvl w:val="3"/>
          <w:numId w:val="4"/>
        </w:numPr>
        <w:tabs>
          <w:tab w:pos="1600" w:val="left" w:leader="none"/>
          <w:tab w:pos="1601" w:val="left" w:leader="none"/>
        </w:tabs>
        <w:spacing w:line="252" w:lineRule="exact" w:before="0" w:after="0"/>
        <w:ind w:left="1600" w:right="0" w:hanging="576"/>
        <w:jc w:val="left"/>
        <w:rPr>
          <w:sz w:val="22"/>
        </w:rPr>
      </w:pPr>
      <w:r>
        <w:rPr>
          <w:sz w:val="22"/>
        </w:rPr>
        <w:t>Place sealants so they directly contact and fully wet joint</w:t>
      </w:r>
      <w:r>
        <w:rPr>
          <w:spacing w:val="-17"/>
          <w:sz w:val="22"/>
        </w:rPr>
        <w:t> </w:t>
      </w:r>
      <w:r>
        <w:rPr>
          <w:sz w:val="22"/>
        </w:rPr>
        <w:t>substrates.</w:t>
      </w:r>
    </w:p>
    <w:p>
      <w:pPr>
        <w:pStyle w:val="ListParagraph"/>
        <w:numPr>
          <w:ilvl w:val="3"/>
          <w:numId w:val="4"/>
        </w:numPr>
        <w:tabs>
          <w:tab w:pos="1600" w:val="left" w:leader="none"/>
          <w:tab w:pos="1601" w:val="left" w:leader="none"/>
        </w:tabs>
        <w:spacing w:line="252" w:lineRule="exact" w:before="0" w:after="0"/>
        <w:ind w:left="1600" w:right="0" w:hanging="576"/>
        <w:jc w:val="left"/>
        <w:rPr>
          <w:sz w:val="22"/>
        </w:rPr>
      </w:pPr>
      <w:r>
        <w:rPr>
          <w:sz w:val="22"/>
        </w:rPr>
        <w:t>Completely fill recesses in each joint</w:t>
      </w:r>
      <w:r>
        <w:rPr>
          <w:spacing w:val="-12"/>
          <w:sz w:val="22"/>
        </w:rPr>
        <w:t> </w:t>
      </w:r>
      <w:r>
        <w:rPr>
          <w:sz w:val="22"/>
        </w:rPr>
        <w:t>configuration.</w:t>
      </w:r>
    </w:p>
    <w:p>
      <w:pPr>
        <w:pStyle w:val="ListParagraph"/>
        <w:numPr>
          <w:ilvl w:val="3"/>
          <w:numId w:val="4"/>
        </w:numPr>
        <w:tabs>
          <w:tab w:pos="1600" w:val="left" w:leader="none"/>
          <w:tab w:pos="1601" w:val="left" w:leader="none"/>
        </w:tabs>
        <w:spacing w:line="240" w:lineRule="auto" w:before="2" w:after="0"/>
        <w:ind w:left="1600" w:right="119" w:hanging="576"/>
        <w:jc w:val="left"/>
        <w:rPr>
          <w:sz w:val="22"/>
        </w:rPr>
      </w:pPr>
      <w:r>
        <w:rPr>
          <w:sz w:val="22"/>
        </w:rPr>
        <w:t>Produce uniform, cross-sectional shapes and depths relative to joint widths that allow optimum sealant movement</w:t>
      </w:r>
      <w:r>
        <w:rPr>
          <w:spacing w:val="-5"/>
          <w:sz w:val="22"/>
        </w:rPr>
        <w:t> </w:t>
      </w:r>
      <w:r>
        <w:rPr>
          <w:sz w:val="22"/>
        </w:rPr>
        <w:t>capability.</w:t>
      </w:r>
    </w:p>
    <w:p>
      <w:pPr>
        <w:pStyle w:val="BodyText"/>
        <w:spacing w:before="8"/>
        <w:ind w:firstLine="0"/>
        <w:rPr>
          <w:sz w:val="20"/>
        </w:rPr>
      </w:pPr>
    </w:p>
    <w:p>
      <w:pPr>
        <w:pStyle w:val="ListParagraph"/>
        <w:numPr>
          <w:ilvl w:val="2"/>
          <w:numId w:val="4"/>
        </w:numPr>
        <w:tabs>
          <w:tab w:pos="1025" w:val="left" w:leader="none"/>
        </w:tabs>
        <w:spacing w:line="240" w:lineRule="auto" w:before="0" w:after="0"/>
        <w:ind w:left="1024" w:right="112" w:hanging="576"/>
        <w:jc w:val="both"/>
        <w:rPr>
          <w:sz w:val="22"/>
        </w:rPr>
      </w:pPr>
      <w:r>
        <w:rPr>
          <w:sz w:val="22"/>
        </w:rPr>
        <w:t>Tooling of Nonsag Sealants: Immediately after sealant application and before skinning or  curing begins, tool sealants according to requirements specified below to form smooth, uniform beads of configuration indicated; to eliminate air pockets; and to ensure contact and adhesion of sealant with sides of</w:t>
      </w:r>
      <w:r>
        <w:rPr>
          <w:spacing w:val="-6"/>
          <w:sz w:val="22"/>
        </w:rPr>
        <w:t> </w:t>
      </w:r>
      <w:r>
        <w:rPr>
          <w:sz w:val="22"/>
        </w:rPr>
        <w:t>joint.</w:t>
      </w:r>
    </w:p>
    <w:p>
      <w:pPr>
        <w:pStyle w:val="BodyText"/>
        <w:spacing w:before="11"/>
        <w:ind w:firstLine="0"/>
        <w:rPr>
          <w:sz w:val="20"/>
        </w:rPr>
      </w:pPr>
    </w:p>
    <w:p>
      <w:pPr>
        <w:pStyle w:val="ListParagraph"/>
        <w:numPr>
          <w:ilvl w:val="3"/>
          <w:numId w:val="4"/>
        </w:numPr>
        <w:tabs>
          <w:tab w:pos="1600" w:val="left" w:leader="none"/>
          <w:tab w:pos="1601" w:val="left" w:leader="none"/>
        </w:tabs>
        <w:spacing w:line="252" w:lineRule="exact" w:before="0" w:after="0"/>
        <w:ind w:left="1600" w:right="0" w:hanging="576"/>
        <w:jc w:val="left"/>
        <w:rPr>
          <w:sz w:val="22"/>
        </w:rPr>
      </w:pPr>
      <w:r>
        <w:rPr>
          <w:sz w:val="22"/>
        </w:rPr>
        <w:t>Remove excess sealant from surfaces adjacent to</w:t>
      </w:r>
      <w:r>
        <w:rPr>
          <w:spacing w:val="-13"/>
          <w:sz w:val="22"/>
        </w:rPr>
        <w:t> </w:t>
      </w:r>
      <w:r>
        <w:rPr>
          <w:sz w:val="22"/>
        </w:rPr>
        <w:t>joints.</w:t>
      </w:r>
    </w:p>
    <w:p>
      <w:pPr>
        <w:pStyle w:val="ListParagraph"/>
        <w:numPr>
          <w:ilvl w:val="3"/>
          <w:numId w:val="4"/>
        </w:numPr>
        <w:tabs>
          <w:tab w:pos="1600" w:val="left" w:leader="none"/>
          <w:tab w:pos="1601" w:val="left" w:leader="none"/>
        </w:tabs>
        <w:spacing w:line="240" w:lineRule="auto" w:before="0" w:after="0"/>
        <w:ind w:left="1600" w:right="118" w:hanging="576"/>
        <w:jc w:val="left"/>
        <w:rPr>
          <w:sz w:val="22"/>
        </w:rPr>
      </w:pPr>
      <w:r>
        <w:rPr>
          <w:sz w:val="22"/>
        </w:rPr>
        <w:t>Use tooling agents that are approved in writing by sealant manufacturer and that do not discolor sealants or adjacent</w:t>
      </w:r>
      <w:r>
        <w:rPr>
          <w:spacing w:val="-2"/>
          <w:sz w:val="22"/>
        </w:rPr>
        <w:t> </w:t>
      </w:r>
      <w:r>
        <w:rPr>
          <w:sz w:val="22"/>
        </w:rPr>
        <w:t>surfaces.</w:t>
      </w:r>
    </w:p>
    <w:p>
      <w:pPr>
        <w:pStyle w:val="ListParagraph"/>
        <w:numPr>
          <w:ilvl w:val="3"/>
          <w:numId w:val="4"/>
        </w:numPr>
        <w:tabs>
          <w:tab w:pos="1600" w:val="left" w:leader="none"/>
          <w:tab w:pos="1601" w:val="left" w:leader="none"/>
        </w:tabs>
        <w:spacing w:line="240" w:lineRule="auto" w:before="0" w:after="0"/>
        <w:ind w:left="1600" w:right="115" w:hanging="576"/>
        <w:jc w:val="left"/>
        <w:rPr>
          <w:sz w:val="22"/>
        </w:rPr>
      </w:pPr>
      <w:r>
        <w:rPr>
          <w:sz w:val="22"/>
        </w:rPr>
        <w:t>Provide concave joint configuration per Figure 5A in ASTM C 1193, unless otherwise indicated.</w:t>
      </w:r>
    </w:p>
    <w:p>
      <w:pPr>
        <w:pStyle w:val="ListParagraph"/>
        <w:numPr>
          <w:ilvl w:val="3"/>
          <w:numId w:val="4"/>
        </w:numPr>
        <w:tabs>
          <w:tab w:pos="1600" w:val="left" w:leader="none"/>
          <w:tab w:pos="1601" w:val="left" w:leader="none"/>
        </w:tabs>
        <w:spacing w:line="252" w:lineRule="exact" w:before="1" w:after="0"/>
        <w:ind w:left="1600" w:right="0" w:hanging="576"/>
        <w:jc w:val="left"/>
        <w:rPr>
          <w:sz w:val="22"/>
        </w:rPr>
      </w:pPr>
      <w:r>
        <w:rPr>
          <w:sz w:val="22"/>
        </w:rPr>
        <w:t>Provide flush joint configuration where indicated per Figure 5B in ASTM C</w:t>
      </w:r>
      <w:r>
        <w:rPr>
          <w:spacing w:val="-8"/>
          <w:sz w:val="22"/>
        </w:rPr>
        <w:t> </w:t>
      </w:r>
      <w:r>
        <w:rPr>
          <w:sz w:val="22"/>
        </w:rPr>
        <w:t>1193.</w:t>
      </w:r>
    </w:p>
    <w:p>
      <w:pPr>
        <w:pStyle w:val="ListParagraph"/>
        <w:numPr>
          <w:ilvl w:val="3"/>
          <w:numId w:val="4"/>
        </w:numPr>
        <w:tabs>
          <w:tab w:pos="1600" w:val="left" w:leader="none"/>
          <w:tab w:pos="1601" w:val="left" w:leader="none"/>
        </w:tabs>
        <w:spacing w:line="240" w:lineRule="auto" w:before="0" w:after="0"/>
        <w:ind w:left="1600" w:right="122" w:hanging="576"/>
        <w:jc w:val="left"/>
        <w:rPr>
          <w:sz w:val="22"/>
        </w:rPr>
      </w:pPr>
      <w:r>
        <w:rPr>
          <w:sz w:val="22"/>
        </w:rPr>
        <w:t>Provide recessed joint configuration of recess depth and at locations indicated  per  Figure 5C in ASTM C</w:t>
      </w:r>
      <w:r>
        <w:rPr>
          <w:spacing w:val="-2"/>
          <w:sz w:val="22"/>
        </w:rPr>
        <w:t> </w:t>
      </w:r>
      <w:r>
        <w:rPr>
          <w:sz w:val="22"/>
        </w:rPr>
        <w:t>1193.</w:t>
      </w:r>
    </w:p>
    <w:p>
      <w:pPr>
        <w:pStyle w:val="BodyText"/>
        <w:spacing w:before="10"/>
        <w:ind w:firstLine="0"/>
        <w:rPr>
          <w:sz w:val="20"/>
        </w:rPr>
      </w:pPr>
    </w:p>
    <w:p>
      <w:pPr>
        <w:pStyle w:val="ListParagraph"/>
        <w:numPr>
          <w:ilvl w:val="4"/>
          <w:numId w:val="4"/>
        </w:numPr>
        <w:tabs>
          <w:tab w:pos="2176" w:val="left" w:leader="none"/>
          <w:tab w:pos="2177" w:val="left" w:leader="none"/>
        </w:tabs>
        <w:spacing w:line="240" w:lineRule="auto" w:before="0" w:after="0"/>
        <w:ind w:left="2176" w:right="0" w:hanging="576"/>
        <w:jc w:val="left"/>
        <w:rPr>
          <w:sz w:val="22"/>
        </w:rPr>
      </w:pPr>
      <w:r>
        <w:rPr>
          <w:sz w:val="22"/>
        </w:rPr>
        <w:t>Use masking tape to protect surfaces adjacent to recessed tooled</w:t>
      </w:r>
      <w:r>
        <w:rPr>
          <w:spacing w:val="-16"/>
          <w:sz w:val="22"/>
        </w:rPr>
        <w:t> </w:t>
      </w:r>
      <w:r>
        <w:rPr>
          <w:sz w:val="22"/>
        </w:rPr>
        <w:t>joints.</w:t>
      </w:r>
    </w:p>
    <w:p>
      <w:pPr>
        <w:pStyle w:val="BodyText"/>
        <w:ind w:firstLine="0"/>
        <w:rPr>
          <w:sz w:val="21"/>
        </w:rPr>
      </w:pPr>
    </w:p>
    <w:p>
      <w:pPr>
        <w:pStyle w:val="ListParagraph"/>
        <w:numPr>
          <w:ilvl w:val="2"/>
          <w:numId w:val="4"/>
        </w:numPr>
        <w:tabs>
          <w:tab w:pos="1024" w:val="left" w:leader="none"/>
          <w:tab w:pos="1025" w:val="left" w:leader="none"/>
        </w:tabs>
        <w:spacing w:line="240" w:lineRule="auto" w:before="0" w:after="0"/>
        <w:ind w:left="1024" w:right="0" w:hanging="576"/>
        <w:jc w:val="left"/>
        <w:rPr>
          <w:sz w:val="22"/>
        </w:rPr>
      </w:pPr>
      <w:r>
        <w:rPr>
          <w:sz w:val="22"/>
        </w:rPr>
        <w:t>Installation of Preformed Tapes: Install according to manufacturer's written</w:t>
      </w:r>
      <w:r>
        <w:rPr>
          <w:spacing w:val="-15"/>
          <w:sz w:val="22"/>
        </w:rPr>
        <w:t> </w:t>
      </w:r>
      <w:r>
        <w:rPr>
          <w:sz w:val="22"/>
        </w:rPr>
        <w:t>instructions.</w:t>
      </w:r>
    </w:p>
    <w:p>
      <w:pPr>
        <w:pStyle w:val="BodyText"/>
        <w:spacing w:before="9"/>
        <w:ind w:firstLine="0"/>
        <w:rPr>
          <w:sz w:val="20"/>
        </w:rPr>
      </w:pPr>
    </w:p>
    <w:p>
      <w:pPr>
        <w:pStyle w:val="ListParagraph"/>
        <w:numPr>
          <w:ilvl w:val="2"/>
          <w:numId w:val="4"/>
        </w:numPr>
        <w:tabs>
          <w:tab w:pos="1024" w:val="left" w:leader="none"/>
          <w:tab w:pos="1025" w:val="left" w:leader="none"/>
        </w:tabs>
        <w:spacing w:line="240" w:lineRule="auto" w:before="0" w:after="0"/>
        <w:ind w:left="1024" w:right="0" w:hanging="576"/>
        <w:jc w:val="left"/>
        <w:rPr>
          <w:sz w:val="22"/>
        </w:rPr>
      </w:pPr>
      <w:r>
        <w:rPr>
          <w:sz w:val="22"/>
        </w:rPr>
        <w:t>Installation of Preformed Silicone-Sealant System: Comply with the following</w:t>
      </w:r>
      <w:r>
        <w:rPr>
          <w:spacing w:val="-14"/>
          <w:sz w:val="22"/>
        </w:rPr>
        <w:t> </w:t>
      </w:r>
      <w:r>
        <w:rPr>
          <w:sz w:val="22"/>
        </w:rPr>
        <w:t>requirements:</w:t>
      </w:r>
    </w:p>
    <w:p>
      <w:pPr>
        <w:spacing w:after="0" w:line="240" w:lineRule="auto"/>
        <w:jc w:val="left"/>
        <w:rPr>
          <w:sz w:val="22"/>
        </w:rPr>
        <w:sectPr>
          <w:pgSz w:w="12240" w:h="15840"/>
          <w:pgMar w:header="722" w:footer="768" w:top="1340" w:bottom="960" w:left="1280" w:right="1320"/>
        </w:sectPr>
      </w:pPr>
    </w:p>
    <w:p>
      <w:pPr>
        <w:pStyle w:val="ListParagraph"/>
        <w:numPr>
          <w:ilvl w:val="3"/>
          <w:numId w:val="4"/>
        </w:numPr>
        <w:tabs>
          <w:tab w:pos="1600" w:val="left" w:leader="none"/>
          <w:tab w:pos="1601" w:val="left" w:leader="none"/>
        </w:tabs>
        <w:spacing w:line="253" w:lineRule="exact" w:before="81" w:after="0"/>
        <w:ind w:left="1600" w:right="0" w:hanging="576"/>
        <w:jc w:val="left"/>
        <w:rPr>
          <w:sz w:val="22"/>
        </w:rPr>
      </w:pPr>
      <w:r>
        <w:rPr>
          <w:sz w:val="22"/>
        </w:rPr>
        <w:t>Apply masking tape to each side of joint, outside of area to be covered by sealant</w:t>
      </w:r>
      <w:r>
        <w:rPr>
          <w:spacing w:val="-29"/>
          <w:sz w:val="22"/>
        </w:rPr>
        <w:t> </w:t>
      </w:r>
      <w:r>
        <w:rPr>
          <w:sz w:val="22"/>
        </w:rPr>
        <w:t>system.</w:t>
      </w:r>
    </w:p>
    <w:p>
      <w:pPr>
        <w:pStyle w:val="ListParagraph"/>
        <w:numPr>
          <w:ilvl w:val="3"/>
          <w:numId w:val="4"/>
        </w:numPr>
        <w:tabs>
          <w:tab w:pos="1601" w:val="left" w:leader="none"/>
        </w:tabs>
        <w:spacing w:line="240" w:lineRule="auto" w:before="0" w:after="0"/>
        <w:ind w:left="1600" w:right="113" w:hanging="576"/>
        <w:jc w:val="both"/>
        <w:rPr>
          <w:sz w:val="22"/>
        </w:rPr>
      </w:pPr>
      <w:r>
        <w:rPr>
          <w:sz w:val="22"/>
        </w:rPr>
        <w:t>Apply silicone sealant to each side of joint to produce a bead of size complying with preformed silicone-sealant system manufacturer's written instructions and covering a bonding area of not less than 3/8 inch (10 mm). Hold edge of sealant bead 1/4 inch (6 </w:t>
      </w:r>
      <w:r>
        <w:rPr>
          <w:spacing w:val="-2"/>
          <w:sz w:val="22"/>
        </w:rPr>
        <w:t>mm) </w:t>
      </w:r>
      <w:r>
        <w:rPr>
          <w:sz w:val="22"/>
        </w:rPr>
        <w:t>inside masking tape.</w:t>
      </w:r>
    </w:p>
    <w:p>
      <w:pPr>
        <w:pStyle w:val="ListParagraph"/>
        <w:numPr>
          <w:ilvl w:val="3"/>
          <w:numId w:val="4"/>
        </w:numPr>
        <w:tabs>
          <w:tab w:pos="1601" w:val="left" w:leader="none"/>
        </w:tabs>
        <w:spacing w:line="240" w:lineRule="auto" w:before="1" w:after="0"/>
        <w:ind w:left="1600" w:right="116" w:hanging="576"/>
        <w:jc w:val="both"/>
        <w:rPr>
          <w:sz w:val="22"/>
        </w:rPr>
      </w:pPr>
      <w:r>
        <w:rPr>
          <w:sz w:val="22"/>
        </w:rPr>
        <w:t>Within 10 minutes of sealant application, press silicone extrusion into sealant to wet extrusion and substrate. Use a roller to apply consistent pressure and ensure uniform contact between sealant and both extrusion and</w:t>
      </w:r>
      <w:r>
        <w:rPr>
          <w:spacing w:val="-8"/>
          <w:sz w:val="22"/>
        </w:rPr>
        <w:t> </w:t>
      </w:r>
      <w:r>
        <w:rPr>
          <w:sz w:val="22"/>
        </w:rPr>
        <w:t>substrate.</w:t>
      </w:r>
    </w:p>
    <w:p>
      <w:pPr>
        <w:pStyle w:val="ListParagraph"/>
        <w:numPr>
          <w:ilvl w:val="3"/>
          <w:numId w:val="4"/>
        </w:numPr>
        <w:tabs>
          <w:tab w:pos="1601" w:val="left" w:leader="none"/>
        </w:tabs>
        <w:spacing w:line="240" w:lineRule="auto" w:before="0" w:after="0"/>
        <w:ind w:left="1600" w:right="116" w:hanging="576"/>
        <w:jc w:val="both"/>
        <w:rPr>
          <w:sz w:val="22"/>
        </w:rPr>
      </w:pPr>
      <w:r>
        <w:rPr>
          <w:sz w:val="22"/>
        </w:rPr>
        <w:t>Complete installation of sealant system in horizontal joints before installing in vertical joints. Lap vertical joints over horizontal joints. At ends of joints, cut silicone extrusion with a razor</w:t>
      </w:r>
      <w:r>
        <w:rPr>
          <w:spacing w:val="-3"/>
          <w:sz w:val="22"/>
        </w:rPr>
        <w:t> </w:t>
      </w:r>
      <w:r>
        <w:rPr>
          <w:sz w:val="22"/>
        </w:rPr>
        <w:t>knife.</w:t>
      </w:r>
    </w:p>
    <w:p>
      <w:pPr>
        <w:pStyle w:val="BodyText"/>
        <w:spacing w:before="8"/>
        <w:ind w:firstLine="0"/>
        <w:rPr>
          <w:sz w:val="20"/>
        </w:rPr>
      </w:pPr>
    </w:p>
    <w:p>
      <w:pPr>
        <w:pStyle w:val="ListParagraph"/>
        <w:numPr>
          <w:ilvl w:val="2"/>
          <w:numId w:val="4"/>
        </w:numPr>
        <w:tabs>
          <w:tab w:pos="1025" w:val="left" w:leader="none"/>
        </w:tabs>
        <w:spacing w:line="240" w:lineRule="auto" w:before="1" w:after="0"/>
        <w:ind w:left="1024" w:right="119" w:hanging="576"/>
        <w:jc w:val="both"/>
        <w:rPr>
          <w:sz w:val="22"/>
        </w:rPr>
      </w:pPr>
      <w:r>
        <w:rPr>
          <w:sz w:val="22"/>
        </w:rPr>
        <w:t>Installation of Preformed Foam Sealants: Install each length of sealant immediately after removing protective wrapping, taking care not to pull or stretch material, producing seal continuity at ends, turns, and intersections of joints. For applications at low ambient temperatures where expansion of sealant requires acceleration to produce seal, apply heat to sealant in compliance with sealant manufacturer's written</w:t>
      </w:r>
      <w:r>
        <w:rPr>
          <w:spacing w:val="-11"/>
          <w:sz w:val="22"/>
        </w:rPr>
        <w:t> </w:t>
      </w:r>
      <w:r>
        <w:rPr>
          <w:sz w:val="22"/>
        </w:rPr>
        <w:t>instructions.</w:t>
      </w:r>
    </w:p>
    <w:p>
      <w:pPr>
        <w:pStyle w:val="BodyText"/>
        <w:ind w:firstLine="0"/>
        <w:rPr>
          <w:sz w:val="24"/>
        </w:rPr>
      </w:pPr>
    </w:p>
    <w:p>
      <w:pPr>
        <w:pStyle w:val="ListParagraph"/>
        <w:numPr>
          <w:ilvl w:val="1"/>
          <w:numId w:val="4"/>
        </w:numPr>
        <w:tabs>
          <w:tab w:pos="1024" w:val="left" w:leader="none"/>
          <w:tab w:pos="1025" w:val="left" w:leader="none"/>
        </w:tabs>
        <w:spacing w:line="240" w:lineRule="auto" w:before="207" w:after="0"/>
        <w:ind w:left="1024" w:right="0" w:hanging="864"/>
        <w:jc w:val="left"/>
        <w:rPr>
          <w:sz w:val="22"/>
        </w:rPr>
      </w:pPr>
      <w:r>
        <w:rPr>
          <w:sz w:val="22"/>
        </w:rPr>
        <w:t>FIELD QUALITY</w:t>
      </w:r>
      <w:r>
        <w:rPr>
          <w:spacing w:val="-3"/>
          <w:sz w:val="22"/>
        </w:rPr>
        <w:t> </w:t>
      </w:r>
      <w:r>
        <w:rPr>
          <w:sz w:val="22"/>
        </w:rPr>
        <w:t>CONTROL</w:t>
      </w:r>
    </w:p>
    <w:p>
      <w:pPr>
        <w:pStyle w:val="BodyText"/>
        <w:spacing w:before="8"/>
        <w:ind w:firstLine="0"/>
        <w:rPr>
          <w:sz w:val="20"/>
        </w:rPr>
      </w:pPr>
    </w:p>
    <w:p>
      <w:pPr>
        <w:pStyle w:val="ListParagraph"/>
        <w:numPr>
          <w:ilvl w:val="2"/>
          <w:numId w:val="4"/>
        </w:numPr>
        <w:tabs>
          <w:tab w:pos="1024" w:val="left" w:leader="none"/>
          <w:tab w:pos="1025" w:val="left" w:leader="none"/>
        </w:tabs>
        <w:spacing w:line="240" w:lineRule="auto" w:before="1" w:after="0"/>
        <w:ind w:left="1024" w:right="0" w:hanging="576"/>
        <w:jc w:val="left"/>
        <w:rPr>
          <w:sz w:val="22"/>
        </w:rPr>
      </w:pPr>
      <w:r>
        <w:rPr>
          <w:sz w:val="22"/>
        </w:rPr>
        <w:t>Field-Adhesion Testing: Field test joint-sealant adhesion to joint substrates as</w:t>
      </w:r>
      <w:r>
        <w:rPr>
          <w:spacing w:val="-20"/>
          <w:sz w:val="22"/>
        </w:rPr>
        <w:t> </w:t>
      </w:r>
      <w:r>
        <w:rPr>
          <w:sz w:val="22"/>
        </w:rPr>
        <w:t>follows:</w:t>
      </w:r>
    </w:p>
    <w:p>
      <w:pPr>
        <w:pStyle w:val="BodyText"/>
        <w:spacing w:before="8"/>
        <w:ind w:firstLine="0"/>
        <w:rPr>
          <w:sz w:val="20"/>
        </w:rPr>
      </w:pPr>
    </w:p>
    <w:p>
      <w:pPr>
        <w:pStyle w:val="ListParagraph"/>
        <w:numPr>
          <w:ilvl w:val="3"/>
          <w:numId w:val="4"/>
        </w:numPr>
        <w:tabs>
          <w:tab w:pos="1600" w:val="left" w:leader="none"/>
          <w:tab w:pos="1601" w:val="left" w:leader="none"/>
        </w:tabs>
        <w:spacing w:line="240" w:lineRule="auto" w:before="1" w:after="0"/>
        <w:ind w:left="1600" w:right="0" w:hanging="576"/>
        <w:jc w:val="left"/>
        <w:rPr>
          <w:sz w:val="22"/>
        </w:rPr>
      </w:pPr>
      <w:r>
        <w:rPr>
          <w:sz w:val="22"/>
        </w:rPr>
        <w:t>Extent of Testing: Test completed elastomeric sealant joints as</w:t>
      </w:r>
      <w:r>
        <w:rPr>
          <w:spacing w:val="-18"/>
          <w:sz w:val="22"/>
        </w:rPr>
        <w:t> </w:t>
      </w:r>
      <w:r>
        <w:rPr>
          <w:sz w:val="22"/>
        </w:rPr>
        <w:t>follows:</w:t>
      </w:r>
    </w:p>
    <w:p>
      <w:pPr>
        <w:pStyle w:val="BodyText"/>
        <w:spacing w:before="11"/>
        <w:ind w:firstLine="0"/>
        <w:rPr>
          <w:sz w:val="20"/>
        </w:rPr>
      </w:pPr>
    </w:p>
    <w:p>
      <w:pPr>
        <w:pStyle w:val="ListParagraph"/>
        <w:numPr>
          <w:ilvl w:val="4"/>
          <w:numId w:val="4"/>
        </w:numPr>
        <w:tabs>
          <w:tab w:pos="2177" w:val="left" w:leader="none"/>
        </w:tabs>
        <w:spacing w:line="240" w:lineRule="auto" w:before="0" w:after="0"/>
        <w:ind w:left="2176" w:right="116" w:hanging="576"/>
        <w:jc w:val="both"/>
        <w:rPr>
          <w:sz w:val="22"/>
        </w:rPr>
      </w:pPr>
      <w:r>
        <w:rPr>
          <w:sz w:val="22"/>
        </w:rPr>
        <w:t>Perform 10 tests for the first 1000 feet (300 m) of joint length for each type of elastomeric sealant and joint</w:t>
      </w:r>
      <w:r>
        <w:rPr>
          <w:spacing w:val="-4"/>
          <w:sz w:val="22"/>
        </w:rPr>
        <w:t> </w:t>
      </w:r>
      <w:r>
        <w:rPr>
          <w:sz w:val="22"/>
        </w:rPr>
        <w:t>substrate.</w:t>
      </w:r>
    </w:p>
    <w:p>
      <w:pPr>
        <w:pStyle w:val="ListParagraph"/>
        <w:numPr>
          <w:ilvl w:val="4"/>
          <w:numId w:val="4"/>
        </w:numPr>
        <w:tabs>
          <w:tab w:pos="2177" w:val="left" w:leader="none"/>
        </w:tabs>
        <w:spacing w:line="240" w:lineRule="auto" w:before="1" w:after="0"/>
        <w:ind w:left="2176" w:right="118" w:hanging="576"/>
        <w:jc w:val="both"/>
        <w:rPr>
          <w:sz w:val="22"/>
        </w:rPr>
      </w:pPr>
      <w:r>
        <w:rPr>
          <w:sz w:val="22"/>
        </w:rPr>
        <w:t>Perform 1 test for each 1000 feet (300 m) of joint length thereafter or 1 test per each floor per</w:t>
      </w:r>
      <w:r>
        <w:rPr>
          <w:spacing w:val="-2"/>
          <w:sz w:val="22"/>
        </w:rPr>
        <w:t> </w:t>
      </w:r>
      <w:r>
        <w:rPr>
          <w:sz w:val="22"/>
        </w:rPr>
        <w:t>elevation.</w:t>
      </w:r>
    </w:p>
    <w:p>
      <w:pPr>
        <w:pStyle w:val="BodyText"/>
        <w:spacing w:before="8"/>
        <w:ind w:firstLine="0"/>
        <w:rPr>
          <w:sz w:val="20"/>
        </w:rPr>
      </w:pPr>
    </w:p>
    <w:p>
      <w:pPr>
        <w:pStyle w:val="ListParagraph"/>
        <w:numPr>
          <w:ilvl w:val="3"/>
          <w:numId w:val="4"/>
        </w:numPr>
        <w:tabs>
          <w:tab w:pos="1601" w:val="left" w:leader="none"/>
        </w:tabs>
        <w:spacing w:line="240" w:lineRule="auto" w:before="0" w:after="0"/>
        <w:ind w:left="1600" w:right="116" w:hanging="576"/>
        <w:jc w:val="both"/>
        <w:rPr>
          <w:sz w:val="22"/>
        </w:rPr>
      </w:pPr>
      <w:r>
        <w:rPr>
          <w:sz w:val="22"/>
        </w:rPr>
        <w:t>Test Method: Test joint sealants according to Method A, Field-Applied Sealant Joint Hand Pull Tab or Method D, Water Immersion in Appendix X1 in ASTM C 1193, as appropriate for type of joint-sealant application</w:t>
      </w:r>
      <w:r>
        <w:rPr>
          <w:spacing w:val="-3"/>
          <w:sz w:val="22"/>
        </w:rPr>
        <w:t> </w:t>
      </w:r>
      <w:r>
        <w:rPr>
          <w:sz w:val="22"/>
        </w:rPr>
        <w:t>indicated.</w:t>
      </w:r>
    </w:p>
    <w:p>
      <w:pPr>
        <w:pStyle w:val="BodyText"/>
        <w:ind w:firstLine="0"/>
        <w:rPr>
          <w:sz w:val="21"/>
        </w:rPr>
      </w:pPr>
    </w:p>
    <w:p>
      <w:pPr>
        <w:pStyle w:val="ListParagraph"/>
        <w:numPr>
          <w:ilvl w:val="4"/>
          <w:numId w:val="4"/>
        </w:numPr>
        <w:tabs>
          <w:tab w:pos="2177" w:val="left" w:leader="none"/>
        </w:tabs>
        <w:spacing w:line="240" w:lineRule="auto" w:before="0" w:after="0"/>
        <w:ind w:left="2176" w:right="122" w:hanging="576"/>
        <w:jc w:val="both"/>
        <w:rPr>
          <w:sz w:val="22"/>
        </w:rPr>
      </w:pPr>
      <w:r>
        <w:rPr>
          <w:sz w:val="22"/>
        </w:rPr>
        <w:t>For joints with dissimilar substrates, verify adhesion to each substrate separately; do this by extending cut along one side, verifying adhesion to opposite side. Repeat procedure for opposite</w:t>
      </w:r>
      <w:r>
        <w:rPr>
          <w:spacing w:val="-8"/>
          <w:sz w:val="22"/>
        </w:rPr>
        <w:t> </w:t>
      </w:r>
      <w:r>
        <w:rPr>
          <w:sz w:val="22"/>
        </w:rPr>
        <w:t>side.</w:t>
      </w:r>
    </w:p>
    <w:p>
      <w:pPr>
        <w:pStyle w:val="BodyText"/>
        <w:spacing w:before="10"/>
        <w:ind w:firstLine="0"/>
        <w:rPr>
          <w:sz w:val="20"/>
        </w:rPr>
      </w:pPr>
    </w:p>
    <w:p>
      <w:pPr>
        <w:pStyle w:val="ListParagraph"/>
        <w:numPr>
          <w:ilvl w:val="3"/>
          <w:numId w:val="4"/>
        </w:numPr>
        <w:tabs>
          <w:tab w:pos="1601" w:val="left" w:leader="none"/>
        </w:tabs>
        <w:spacing w:line="240" w:lineRule="auto" w:before="0" w:after="0"/>
        <w:ind w:left="1600" w:right="123" w:hanging="576"/>
        <w:jc w:val="both"/>
        <w:rPr>
          <w:sz w:val="22"/>
        </w:rPr>
      </w:pPr>
      <w:r>
        <w:rPr>
          <w:sz w:val="22"/>
        </w:rPr>
        <w:t>Inspect joints for complete fill, for absence of voids, and for joint configuration complying with specified requirements. Record results in a field-adhesion-test</w:t>
      </w:r>
      <w:r>
        <w:rPr>
          <w:spacing w:val="-19"/>
          <w:sz w:val="22"/>
        </w:rPr>
        <w:t> </w:t>
      </w:r>
      <w:r>
        <w:rPr>
          <w:sz w:val="22"/>
        </w:rPr>
        <w:t>log.</w:t>
      </w:r>
    </w:p>
    <w:p>
      <w:pPr>
        <w:pStyle w:val="ListParagraph"/>
        <w:numPr>
          <w:ilvl w:val="3"/>
          <w:numId w:val="4"/>
        </w:numPr>
        <w:tabs>
          <w:tab w:pos="1600" w:val="left" w:leader="none"/>
          <w:tab w:pos="1601" w:val="left" w:leader="none"/>
        </w:tabs>
        <w:spacing w:line="240" w:lineRule="auto" w:before="0" w:after="0"/>
        <w:ind w:left="1600" w:right="0" w:hanging="576"/>
        <w:jc w:val="left"/>
        <w:rPr>
          <w:sz w:val="22"/>
        </w:rPr>
      </w:pPr>
      <w:r>
        <w:rPr>
          <w:sz w:val="22"/>
        </w:rPr>
        <w:t>Inspect tested joints and report on the</w:t>
      </w:r>
      <w:r>
        <w:rPr>
          <w:spacing w:val="-3"/>
          <w:sz w:val="22"/>
        </w:rPr>
        <w:t> </w:t>
      </w:r>
      <w:r>
        <w:rPr>
          <w:sz w:val="22"/>
        </w:rPr>
        <w:t>following:</w:t>
      </w:r>
    </w:p>
    <w:p>
      <w:pPr>
        <w:pStyle w:val="BodyText"/>
        <w:spacing w:before="10"/>
        <w:ind w:firstLine="0"/>
        <w:rPr>
          <w:sz w:val="20"/>
        </w:rPr>
      </w:pPr>
    </w:p>
    <w:p>
      <w:pPr>
        <w:pStyle w:val="ListParagraph"/>
        <w:numPr>
          <w:ilvl w:val="4"/>
          <w:numId w:val="4"/>
        </w:numPr>
        <w:tabs>
          <w:tab w:pos="2177" w:val="left" w:leader="none"/>
        </w:tabs>
        <w:spacing w:line="240" w:lineRule="auto" w:before="0" w:after="0"/>
        <w:ind w:left="2176" w:right="120" w:hanging="576"/>
        <w:jc w:val="both"/>
        <w:rPr>
          <w:sz w:val="22"/>
        </w:rPr>
      </w:pPr>
      <w:r>
        <w:rPr>
          <w:sz w:val="22"/>
        </w:rPr>
        <w:t>Whether sealants in joints connected to pulled-out portion failed to adhere to joint substrates or tore cohesively. Include data on pull distance used to test each type  of product and joint substrate. Compare these results to determine if adhesion passes sealant manufacturer's field-adhesion hand-pull test</w:t>
      </w:r>
      <w:r>
        <w:rPr>
          <w:spacing w:val="-9"/>
          <w:sz w:val="22"/>
        </w:rPr>
        <w:t> </w:t>
      </w:r>
      <w:r>
        <w:rPr>
          <w:sz w:val="22"/>
        </w:rPr>
        <w:t>criteria.</w:t>
      </w:r>
    </w:p>
    <w:p>
      <w:pPr>
        <w:pStyle w:val="ListParagraph"/>
        <w:numPr>
          <w:ilvl w:val="4"/>
          <w:numId w:val="4"/>
        </w:numPr>
        <w:tabs>
          <w:tab w:pos="2176" w:val="left" w:leader="none"/>
          <w:tab w:pos="2177" w:val="left" w:leader="none"/>
        </w:tabs>
        <w:spacing w:line="252" w:lineRule="exact" w:before="1" w:after="0"/>
        <w:ind w:left="2176" w:right="0" w:hanging="576"/>
        <w:jc w:val="left"/>
        <w:rPr>
          <w:sz w:val="22"/>
        </w:rPr>
      </w:pPr>
      <w:r>
        <w:rPr>
          <w:sz w:val="22"/>
        </w:rPr>
        <w:t>Whether sealants filled joint cavities and are free of</w:t>
      </w:r>
      <w:r>
        <w:rPr>
          <w:spacing w:val="-10"/>
          <w:sz w:val="22"/>
        </w:rPr>
        <w:t> </w:t>
      </w:r>
      <w:r>
        <w:rPr>
          <w:sz w:val="22"/>
        </w:rPr>
        <w:t>voids.</w:t>
      </w:r>
    </w:p>
    <w:p>
      <w:pPr>
        <w:pStyle w:val="ListParagraph"/>
        <w:numPr>
          <w:ilvl w:val="4"/>
          <w:numId w:val="4"/>
        </w:numPr>
        <w:tabs>
          <w:tab w:pos="2177" w:val="left" w:leader="none"/>
        </w:tabs>
        <w:spacing w:line="240" w:lineRule="auto" w:before="0" w:after="0"/>
        <w:ind w:left="2176" w:right="116" w:hanging="576"/>
        <w:jc w:val="both"/>
        <w:rPr>
          <w:sz w:val="22"/>
        </w:rPr>
      </w:pPr>
      <w:r>
        <w:rPr>
          <w:sz w:val="22"/>
        </w:rPr>
        <w:t>Whether sealant dimensions and configurations comply with specified requirements.</w:t>
      </w:r>
    </w:p>
    <w:p>
      <w:pPr>
        <w:spacing w:after="0" w:line="240" w:lineRule="auto"/>
        <w:jc w:val="both"/>
        <w:rPr>
          <w:sz w:val="22"/>
        </w:rPr>
        <w:sectPr>
          <w:pgSz w:w="12240" w:h="15840"/>
          <w:pgMar w:header="722" w:footer="768" w:top="1340" w:bottom="960" w:left="1280" w:right="1320"/>
        </w:sectPr>
      </w:pPr>
    </w:p>
    <w:p>
      <w:pPr>
        <w:pStyle w:val="ListParagraph"/>
        <w:numPr>
          <w:ilvl w:val="3"/>
          <w:numId w:val="4"/>
        </w:numPr>
        <w:tabs>
          <w:tab w:pos="1601" w:val="left" w:leader="none"/>
        </w:tabs>
        <w:spacing w:line="240" w:lineRule="auto" w:before="81" w:after="0"/>
        <w:ind w:left="1600" w:right="117" w:hanging="576"/>
        <w:jc w:val="both"/>
        <w:rPr>
          <w:sz w:val="22"/>
        </w:rPr>
      </w:pPr>
      <w:r>
        <w:rPr>
          <w:sz w:val="22"/>
        </w:rPr>
        <w:t>Record test results in a field-adhesion-test log. Include dates when sealants were installed, names of persons who installed sealants, test dates, test locations, whether joints were primed, adhesion results and percent elongations, sealant fill, sealant configuration, and sealant dimensions.</w:t>
      </w:r>
    </w:p>
    <w:p>
      <w:pPr>
        <w:pStyle w:val="ListParagraph"/>
        <w:numPr>
          <w:ilvl w:val="3"/>
          <w:numId w:val="4"/>
        </w:numPr>
        <w:tabs>
          <w:tab w:pos="1601" w:val="left" w:leader="none"/>
        </w:tabs>
        <w:spacing w:line="240" w:lineRule="auto" w:before="1" w:after="0"/>
        <w:ind w:left="1600" w:right="120" w:hanging="576"/>
        <w:jc w:val="both"/>
        <w:rPr>
          <w:sz w:val="22"/>
        </w:rPr>
      </w:pPr>
      <w:r>
        <w:rPr>
          <w:sz w:val="22"/>
        </w:rPr>
        <w:t>Repair sealants pulled from test area by applying new sealants following same procedures used originally to seal joints. Ensure that original sealant surfaces are clean and that new sealant contacts original</w:t>
      </w:r>
      <w:r>
        <w:rPr>
          <w:spacing w:val="-4"/>
          <w:sz w:val="22"/>
        </w:rPr>
        <w:t> </w:t>
      </w:r>
      <w:r>
        <w:rPr>
          <w:sz w:val="22"/>
        </w:rPr>
        <w:t>sealant.</w:t>
      </w:r>
    </w:p>
    <w:p>
      <w:pPr>
        <w:pStyle w:val="BodyText"/>
        <w:spacing w:before="10"/>
        <w:ind w:firstLine="0"/>
        <w:rPr>
          <w:sz w:val="20"/>
        </w:rPr>
      </w:pPr>
    </w:p>
    <w:p>
      <w:pPr>
        <w:pStyle w:val="ListParagraph"/>
        <w:numPr>
          <w:ilvl w:val="2"/>
          <w:numId w:val="4"/>
        </w:numPr>
        <w:tabs>
          <w:tab w:pos="1025" w:val="left" w:leader="none"/>
        </w:tabs>
        <w:spacing w:line="240" w:lineRule="auto" w:before="0" w:after="0"/>
        <w:ind w:left="1024" w:right="118" w:hanging="576"/>
        <w:jc w:val="both"/>
        <w:rPr>
          <w:sz w:val="22"/>
        </w:rPr>
      </w:pPr>
      <w:r>
        <w:rPr>
          <w:sz w:val="22"/>
        </w:rPr>
        <w:t>Evaluation of Field Test Results: Sealants not evidencing adhesive failure from testing or noncompliance with other indicated requirements will be considered satisfactory. Remove sealants that fail to adhere to joint substrates during testing or to comply with other requirements. Retest failed applications until test results prove sealants comply with indicated requirements.</w:t>
      </w:r>
    </w:p>
    <w:p>
      <w:pPr>
        <w:pStyle w:val="BodyText"/>
        <w:ind w:firstLine="0"/>
        <w:rPr>
          <w:sz w:val="24"/>
        </w:rPr>
      </w:pPr>
    </w:p>
    <w:p>
      <w:pPr>
        <w:pStyle w:val="ListParagraph"/>
        <w:numPr>
          <w:ilvl w:val="1"/>
          <w:numId w:val="4"/>
        </w:numPr>
        <w:tabs>
          <w:tab w:pos="1024" w:val="left" w:leader="none"/>
          <w:tab w:pos="1025" w:val="left" w:leader="none"/>
        </w:tabs>
        <w:spacing w:line="240" w:lineRule="auto" w:before="204" w:after="0"/>
        <w:ind w:left="1024" w:right="0" w:hanging="864"/>
        <w:jc w:val="left"/>
        <w:rPr>
          <w:sz w:val="22"/>
        </w:rPr>
      </w:pPr>
      <w:r>
        <w:rPr>
          <w:sz w:val="22"/>
        </w:rPr>
        <w:t>CLEANING</w:t>
      </w:r>
    </w:p>
    <w:p>
      <w:pPr>
        <w:pStyle w:val="BodyText"/>
        <w:spacing w:before="9"/>
        <w:ind w:firstLine="0"/>
        <w:rPr>
          <w:sz w:val="20"/>
        </w:rPr>
      </w:pPr>
    </w:p>
    <w:p>
      <w:pPr>
        <w:pStyle w:val="ListParagraph"/>
        <w:numPr>
          <w:ilvl w:val="2"/>
          <w:numId w:val="4"/>
        </w:numPr>
        <w:tabs>
          <w:tab w:pos="1025" w:val="left" w:leader="none"/>
        </w:tabs>
        <w:spacing w:line="240" w:lineRule="auto" w:before="0" w:after="0"/>
        <w:ind w:left="1024" w:right="114" w:hanging="576"/>
        <w:jc w:val="both"/>
        <w:rPr>
          <w:sz w:val="22"/>
        </w:rPr>
      </w:pPr>
      <w:r>
        <w:rPr>
          <w:sz w:val="22"/>
        </w:rPr>
        <w:t>Clean off excess sealant or sealant smears adjacent to joints as the Work progresses by methods and with cleaning materials approved in writing by manufacturers of joint sealants and of products in which joints</w:t>
      </w:r>
      <w:r>
        <w:rPr>
          <w:spacing w:val="-7"/>
          <w:sz w:val="22"/>
        </w:rPr>
        <w:t> </w:t>
      </w:r>
      <w:r>
        <w:rPr>
          <w:sz w:val="22"/>
        </w:rPr>
        <w:t>occur.</w:t>
      </w:r>
    </w:p>
    <w:p>
      <w:pPr>
        <w:pStyle w:val="BodyText"/>
        <w:ind w:firstLine="0"/>
        <w:rPr>
          <w:sz w:val="24"/>
        </w:rPr>
      </w:pPr>
    </w:p>
    <w:p>
      <w:pPr>
        <w:pStyle w:val="ListParagraph"/>
        <w:numPr>
          <w:ilvl w:val="1"/>
          <w:numId w:val="4"/>
        </w:numPr>
        <w:tabs>
          <w:tab w:pos="1024" w:val="left" w:leader="none"/>
          <w:tab w:pos="1025" w:val="left" w:leader="none"/>
        </w:tabs>
        <w:spacing w:line="240" w:lineRule="auto" w:before="206" w:after="0"/>
        <w:ind w:left="1024" w:right="0" w:hanging="864"/>
        <w:jc w:val="left"/>
        <w:rPr>
          <w:sz w:val="22"/>
        </w:rPr>
      </w:pPr>
      <w:r>
        <w:rPr>
          <w:sz w:val="22"/>
        </w:rPr>
        <w:t>PROTECTION</w:t>
      </w:r>
    </w:p>
    <w:p>
      <w:pPr>
        <w:pStyle w:val="BodyText"/>
        <w:spacing w:before="9"/>
        <w:ind w:firstLine="0"/>
        <w:rPr>
          <w:sz w:val="20"/>
        </w:rPr>
      </w:pPr>
    </w:p>
    <w:p>
      <w:pPr>
        <w:pStyle w:val="ListParagraph"/>
        <w:numPr>
          <w:ilvl w:val="2"/>
          <w:numId w:val="4"/>
        </w:numPr>
        <w:tabs>
          <w:tab w:pos="1025" w:val="left" w:leader="none"/>
        </w:tabs>
        <w:spacing w:line="240" w:lineRule="auto" w:before="0" w:after="0"/>
        <w:ind w:left="1024" w:right="111" w:hanging="576"/>
        <w:jc w:val="both"/>
        <w:rPr>
          <w:sz w:val="22"/>
        </w:rPr>
      </w:pPr>
      <w:r>
        <w:rPr>
          <w:sz w:val="22"/>
        </w:rPr>
        <w:t>Protect joint sealants during and after curing period from contact with contaminating substances and from damage resulting from construction operations or other causes so sealants are without deterioration or damage at time of Substantial Completion. If, despite such protection, damage or deterioration occurs, cut out and remove damaged or deteriorated joint sealants immediately so installations with repaired areas are indistinguishable from original</w:t>
      </w:r>
      <w:r>
        <w:rPr>
          <w:spacing w:val="-11"/>
          <w:sz w:val="22"/>
        </w:rPr>
        <w:t> </w:t>
      </w:r>
      <w:r>
        <w:rPr>
          <w:sz w:val="22"/>
        </w:rPr>
        <w:t>work.</w:t>
      </w:r>
    </w:p>
    <w:p>
      <w:pPr>
        <w:pStyle w:val="BodyText"/>
        <w:ind w:firstLine="0"/>
        <w:rPr>
          <w:sz w:val="20"/>
        </w:rPr>
      </w:pPr>
    </w:p>
    <w:p>
      <w:pPr>
        <w:pStyle w:val="BodyText"/>
        <w:spacing w:before="6"/>
        <w:ind w:firstLine="0"/>
      </w:pPr>
    </w:p>
    <w:tbl>
      <w:tblPr>
        <w:tblW w:w="0" w:type="auto"/>
        <w:jc w:val="left"/>
        <w:tblInd w:w="1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5241"/>
        <w:gridCol w:w="1155"/>
        <w:gridCol w:w="2254"/>
      </w:tblGrid>
      <w:tr>
        <w:trPr>
          <w:trHeight w:val="368" w:hRule="atLeast"/>
        </w:trPr>
        <w:tc>
          <w:tcPr>
            <w:tcW w:w="5241" w:type="dxa"/>
          </w:tcPr>
          <w:p>
            <w:pPr>
              <w:pStyle w:val="TableParagraph"/>
              <w:tabs>
                <w:tab w:pos="913" w:val="left" w:leader="none"/>
              </w:tabs>
              <w:spacing w:line="244" w:lineRule="exact" w:before="0"/>
              <w:ind w:left="50"/>
              <w:rPr>
                <w:sz w:val="22"/>
              </w:rPr>
            </w:pPr>
            <w:r>
              <w:rPr>
                <w:sz w:val="22"/>
              </w:rPr>
              <w:t>3.7</w:t>
              <w:tab/>
              <w:t>JOINT-SEALANT SCHEDULE.</w:t>
            </w:r>
          </w:p>
        </w:tc>
        <w:tc>
          <w:tcPr>
            <w:tcW w:w="3409" w:type="dxa"/>
            <w:gridSpan w:val="2"/>
          </w:tcPr>
          <w:p>
            <w:pPr>
              <w:pStyle w:val="TableParagraph"/>
              <w:spacing w:before="0"/>
              <w:rPr>
                <w:sz w:val="22"/>
              </w:rPr>
            </w:pPr>
          </w:p>
        </w:tc>
      </w:tr>
      <w:tr>
        <w:trPr>
          <w:trHeight w:val="493" w:hRule="atLeast"/>
        </w:trPr>
        <w:tc>
          <w:tcPr>
            <w:tcW w:w="5241" w:type="dxa"/>
          </w:tcPr>
          <w:p>
            <w:pPr>
              <w:pStyle w:val="TableParagraph"/>
              <w:ind w:left="913"/>
              <w:rPr>
                <w:sz w:val="22"/>
              </w:rPr>
            </w:pPr>
            <w:r>
              <w:rPr>
                <w:sz w:val="22"/>
              </w:rPr>
              <w:t>Location</w:t>
            </w:r>
          </w:p>
        </w:tc>
        <w:tc>
          <w:tcPr>
            <w:tcW w:w="1155" w:type="dxa"/>
          </w:tcPr>
          <w:p>
            <w:pPr>
              <w:pStyle w:val="TableParagraph"/>
              <w:ind w:left="209"/>
              <w:rPr>
                <w:sz w:val="22"/>
              </w:rPr>
            </w:pPr>
            <w:r>
              <w:rPr>
                <w:sz w:val="22"/>
              </w:rPr>
              <w:t>Type</w:t>
            </w:r>
          </w:p>
        </w:tc>
        <w:tc>
          <w:tcPr>
            <w:tcW w:w="2254" w:type="dxa"/>
          </w:tcPr>
          <w:p>
            <w:pPr>
              <w:pStyle w:val="TableParagraph"/>
              <w:ind w:left="494"/>
              <w:rPr>
                <w:sz w:val="22"/>
              </w:rPr>
            </w:pPr>
            <w:r>
              <w:rPr>
                <w:sz w:val="22"/>
              </w:rPr>
              <w:t>Color</w:t>
            </w:r>
          </w:p>
        </w:tc>
      </w:tr>
      <w:tr>
        <w:trPr>
          <w:trHeight w:val="746" w:hRule="atLeast"/>
        </w:trPr>
        <w:tc>
          <w:tcPr>
            <w:tcW w:w="5241" w:type="dxa"/>
          </w:tcPr>
          <w:p>
            <w:pPr>
              <w:pStyle w:val="TableParagraph"/>
              <w:tabs>
                <w:tab w:pos="913" w:val="left" w:leader="none"/>
              </w:tabs>
              <w:spacing w:before="116"/>
              <w:ind w:left="913" w:right="895" w:hanging="576"/>
              <w:rPr>
                <w:sz w:val="22"/>
              </w:rPr>
            </w:pPr>
            <w:r>
              <w:rPr>
                <w:sz w:val="22"/>
              </w:rPr>
              <w:t>A.</w:t>
              <w:tab/>
              <w:t>Window Perimeter, Frames, Storefront Or Curtain Wall</w:t>
            </w:r>
            <w:r>
              <w:rPr>
                <w:spacing w:val="-3"/>
                <w:sz w:val="22"/>
              </w:rPr>
              <w:t> </w:t>
            </w:r>
            <w:r>
              <w:rPr>
                <w:sz w:val="22"/>
              </w:rPr>
              <w:t>Assembly</w:t>
            </w:r>
          </w:p>
        </w:tc>
        <w:tc>
          <w:tcPr>
            <w:tcW w:w="1155" w:type="dxa"/>
          </w:tcPr>
          <w:p>
            <w:pPr>
              <w:pStyle w:val="TableParagraph"/>
              <w:spacing w:before="116"/>
              <w:ind w:left="209"/>
              <w:rPr>
                <w:sz w:val="22"/>
              </w:rPr>
            </w:pPr>
            <w:r>
              <w:rPr>
                <w:w w:val="100"/>
                <w:sz w:val="22"/>
              </w:rPr>
              <w:t>B</w:t>
            </w:r>
          </w:p>
        </w:tc>
        <w:tc>
          <w:tcPr>
            <w:tcW w:w="2254" w:type="dxa"/>
          </w:tcPr>
          <w:p>
            <w:pPr>
              <w:pStyle w:val="TableParagraph"/>
              <w:spacing w:before="116"/>
              <w:ind w:left="494"/>
              <w:rPr>
                <w:sz w:val="22"/>
              </w:rPr>
            </w:pPr>
            <w:r>
              <w:rPr>
                <w:sz w:val="22"/>
              </w:rPr>
              <w:t>To Match Adjacent</w:t>
            </w:r>
          </w:p>
        </w:tc>
      </w:tr>
      <w:tr>
        <w:trPr>
          <w:trHeight w:val="493" w:hRule="atLeast"/>
        </w:trPr>
        <w:tc>
          <w:tcPr>
            <w:tcW w:w="5241" w:type="dxa"/>
          </w:tcPr>
          <w:p>
            <w:pPr>
              <w:pStyle w:val="TableParagraph"/>
              <w:tabs>
                <w:tab w:pos="913" w:val="left" w:leader="none"/>
              </w:tabs>
              <w:spacing w:before="116"/>
              <w:ind w:left="338"/>
              <w:rPr>
                <w:sz w:val="22"/>
              </w:rPr>
            </w:pPr>
            <w:r>
              <w:rPr>
                <w:sz w:val="22"/>
              </w:rPr>
              <w:t>B.</w:t>
              <w:tab/>
              <w:t>Door Frames / Wall</w:t>
            </w:r>
            <w:r>
              <w:rPr>
                <w:spacing w:val="-1"/>
                <w:sz w:val="22"/>
              </w:rPr>
              <w:t> </w:t>
            </w:r>
            <w:r>
              <w:rPr>
                <w:sz w:val="22"/>
              </w:rPr>
              <w:t>Perimeters</w:t>
            </w:r>
          </w:p>
        </w:tc>
        <w:tc>
          <w:tcPr>
            <w:tcW w:w="1155" w:type="dxa"/>
          </w:tcPr>
          <w:p>
            <w:pPr>
              <w:pStyle w:val="TableParagraph"/>
              <w:spacing w:before="116"/>
              <w:ind w:left="209"/>
              <w:rPr>
                <w:sz w:val="22"/>
              </w:rPr>
            </w:pPr>
            <w:r>
              <w:rPr>
                <w:w w:val="100"/>
                <w:sz w:val="22"/>
              </w:rPr>
              <w:t>A</w:t>
            </w:r>
          </w:p>
        </w:tc>
        <w:tc>
          <w:tcPr>
            <w:tcW w:w="2254" w:type="dxa"/>
          </w:tcPr>
          <w:p>
            <w:pPr>
              <w:pStyle w:val="TableParagraph"/>
              <w:spacing w:before="116"/>
              <w:ind w:left="494"/>
              <w:rPr>
                <w:sz w:val="22"/>
              </w:rPr>
            </w:pPr>
            <w:r>
              <w:rPr>
                <w:sz w:val="22"/>
              </w:rPr>
              <w:t>To Match Adjacent</w:t>
            </w:r>
          </w:p>
        </w:tc>
      </w:tr>
      <w:tr>
        <w:trPr>
          <w:trHeight w:val="998" w:hRule="atLeast"/>
        </w:trPr>
        <w:tc>
          <w:tcPr>
            <w:tcW w:w="5241" w:type="dxa"/>
          </w:tcPr>
          <w:p>
            <w:pPr>
              <w:pStyle w:val="TableParagraph"/>
              <w:tabs>
                <w:tab w:pos="913" w:val="left" w:leader="none"/>
              </w:tabs>
              <w:spacing w:line="252" w:lineRule="exact"/>
              <w:ind w:left="338"/>
              <w:rPr>
                <w:sz w:val="22"/>
              </w:rPr>
            </w:pPr>
            <w:r>
              <w:rPr>
                <w:sz w:val="22"/>
              </w:rPr>
              <w:t>C.</w:t>
              <w:tab/>
              <w:t>Under</w:t>
            </w:r>
            <w:r>
              <w:rPr>
                <w:spacing w:val="-3"/>
                <w:sz w:val="22"/>
              </w:rPr>
              <w:t> </w:t>
            </w:r>
            <w:r>
              <w:rPr>
                <w:sz w:val="22"/>
              </w:rPr>
              <w:t>Thresholds</w:t>
            </w:r>
          </w:p>
          <w:p>
            <w:pPr>
              <w:pStyle w:val="TableParagraph"/>
              <w:spacing w:line="252" w:lineRule="exact" w:before="0"/>
              <w:ind w:left="913"/>
              <w:rPr>
                <w:sz w:val="22"/>
              </w:rPr>
            </w:pPr>
            <w:r>
              <w:rPr>
                <w:sz w:val="22"/>
              </w:rPr>
              <w:t>Under Window system which rests directly</w:t>
            </w:r>
          </w:p>
          <w:p>
            <w:pPr>
              <w:pStyle w:val="TableParagraph"/>
              <w:spacing w:before="1"/>
              <w:ind w:left="913"/>
              <w:rPr>
                <w:sz w:val="22"/>
              </w:rPr>
            </w:pPr>
            <w:r>
              <w:rPr>
                <w:sz w:val="22"/>
              </w:rPr>
              <w:t>on the floor slab in order to prevent infiltration</w:t>
            </w:r>
          </w:p>
        </w:tc>
        <w:tc>
          <w:tcPr>
            <w:tcW w:w="1155" w:type="dxa"/>
          </w:tcPr>
          <w:p>
            <w:pPr>
              <w:pStyle w:val="TableParagraph"/>
              <w:ind w:left="209"/>
              <w:rPr>
                <w:sz w:val="22"/>
              </w:rPr>
            </w:pPr>
            <w:r>
              <w:rPr>
                <w:w w:val="100"/>
                <w:sz w:val="22"/>
              </w:rPr>
              <w:t>A</w:t>
            </w:r>
          </w:p>
        </w:tc>
        <w:tc>
          <w:tcPr>
            <w:tcW w:w="2254" w:type="dxa"/>
          </w:tcPr>
          <w:p>
            <w:pPr>
              <w:pStyle w:val="TableParagraph"/>
              <w:ind w:left="494"/>
              <w:rPr>
                <w:sz w:val="22"/>
              </w:rPr>
            </w:pPr>
            <w:r>
              <w:rPr>
                <w:sz w:val="22"/>
              </w:rPr>
              <w:t>Black</w:t>
            </w:r>
          </w:p>
        </w:tc>
      </w:tr>
      <w:tr>
        <w:trPr>
          <w:trHeight w:val="746" w:hRule="atLeast"/>
        </w:trPr>
        <w:tc>
          <w:tcPr>
            <w:tcW w:w="5241" w:type="dxa"/>
          </w:tcPr>
          <w:p>
            <w:pPr>
              <w:pStyle w:val="TableParagraph"/>
              <w:tabs>
                <w:tab w:pos="923" w:val="left" w:leader="none"/>
              </w:tabs>
              <w:ind w:left="928" w:right="1259" w:hanging="591"/>
              <w:rPr>
                <w:sz w:val="22"/>
              </w:rPr>
            </w:pPr>
            <w:r>
              <w:rPr>
                <w:sz w:val="22"/>
              </w:rPr>
              <w:t>D.</w:t>
              <w:tab/>
              <w:t>Toilet Room Fixtures, Accessories Ceramic</w:t>
            </w:r>
            <w:r>
              <w:rPr>
                <w:spacing w:val="-3"/>
                <w:sz w:val="22"/>
              </w:rPr>
              <w:t> </w:t>
            </w:r>
            <w:r>
              <w:rPr>
                <w:sz w:val="22"/>
              </w:rPr>
              <w:t>Tile</w:t>
            </w:r>
          </w:p>
        </w:tc>
        <w:tc>
          <w:tcPr>
            <w:tcW w:w="1155" w:type="dxa"/>
          </w:tcPr>
          <w:p>
            <w:pPr>
              <w:pStyle w:val="TableParagraph"/>
              <w:ind w:left="209"/>
              <w:rPr>
                <w:sz w:val="22"/>
              </w:rPr>
            </w:pPr>
            <w:r>
              <w:rPr>
                <w:w w:val="100"/>
                <w:sz w:val="22"/>
              </w:rPr>
              <w:t>C</w:t>
            </w:r>
          </w:p>
        </w:tc>
        <w:tc>
          <w:tcPr>
            <w:tcW w:w="2254" w:type="dxa"/>
          </w:tcPr>
          <w:p>
            <w:pPr>
              <w:pStyle w:val="TableParagraph"/>
              <w:ind w:left="494"/>
              <w:rPr>
                <w:sz w:val="22"/>
              </w:rPr>
            </w:pPr>
            <w:r>
              <w:rPr>
                <w:sz w:val="22"/>
              </w:rPr>
              <w:t>White</w:t>
            </w:r>
          </w:p>
        </w:tc>
      </w:tr>
      <w:tr>
        <w:trPr>
          <w:trHeight w:val="745" w:hRule="atLeast"/>
        </w:trPr>
        <w:tc>
          <w:tcPr>
            <w:tcW w:w="5241" w:type="dxa"/>
          </w:tcPr>
          <w:p>
            <w:pPr>
              <w:pStyle w:val="TableParagraph"/>
              <w:tabs>
                <w:tab w:pos="923" w:val="left" w:leader="none"/>
              </w:tabs>
              <w:ind w:left="928" w:right="1251" w:hanging="591"/>
              <w:rPr>
                <w:sz w:val="22"/>
              </w:rPr>
            </w:pPr>
            <w:r>
              <w:rPr>
                <w:sz w:val="22"/>
              </w:rPr>
              <w:t>E.</w:t>
              <w:tab/>
              <w:t>Intersection of dissimilar materials that allows water or air</w:t>
            </w:r>
            <w:r>
              <w:rPr>
                <w:spacing w:val="-13"/>
                <w:sz w:val="22"/>
              </w:rPr>
              <w:t> </w:t>
            </w:r>
            <w:r>
              <w:rPr>
                <w:sz w:val="22"/>
              </w:rPr>
              <w:t>infiltration</w:t>
            </w:r>
          </w:p>
        </w:tc>
        <w:tc>
          <w:tcPr>
            <w:tcW w:w="1155" w:type="dxa"/>
          </w:tcPr>
          <w:p>
            <w:pPr>
              <w:pStyle w:val="TableParagraph"/>
              <w:ind w:left="209"/>
              <w:rPr>
                <w:sz w:val="22"/>
              </w:rPr>
            </w:pPr>
            <w:r>
              <w:rPr>
                <w:w w:val="100"/>
                <w:sz w:val="22"/>
              </w:rPr>
              <w:t>A</w:t>
            </w:r>
          </w:p>
        </w:tc>
        <w:tc>
          <w:tcPr>
            <w:tcW w:w="2254" w:type="dxa"/>
          </w:tcPr>
          <w:p>
            <w:pPr>
              <w:pStyle w:val="TableParagraph"/>
              <w:ind w:left="494"/>
              <w:rPr>
                <w:sz w:val="22"/>
              </w:rPr>
            </w:pPr>
            <w:r>
              <w:rPr>
                <w:sz w:val="22"/>
              </w:rPr>
              <w:t>To Match Adjacent</w:t>
            </w:r>
          </w:p>
        </w:tc>
      </w:tr>
      <w:tr>
        <w:trPr>
          <w:trHeight w:val="621" w:hRule="atLeast"/>
        </w:trPr>
        <w:tc>
          <w:tcPr>
            <w:tcW w:w="5241" w:type="dxa"/>
          </w:tcPr>
          <w:p>
            <w:pPr>
              <w:pStyle w:val="TableParagraph"/>
              <w:tabs>
                <w:tab w:pos="923" w:val="left" w:leader="none"/>
              </w:tabs>
              <w:spacing w:line="252" w:lineRule="exact" w:before="120"/>
              <w:ind w:left="928" w:right="809" w:hanging="591"/>
              <w:rPr>
                <w:sz w:val="22"/>
              </w:rPr>
            </w:pPr>
            <w:r>
              <w:rPr>
                <w:sz w:val="22"/>
              </w:rPr>
              <w:t>F.</w:t>
              <w:tab/>
              <w:t>Perimeter Joints on interior side of</w:t>
            </w:r>
            <w:r>
              <w:rPr>
                <w:spacing w:val="-13"/>
                <w:sz w:val="22"/>
              </w:rPr>
              <w:t> </w:t>
            </w:r>
            <w:r>
              <w:rPr>
                <w:sz w:val="22"/>
              </w:rPr>
              <w:t>door Frames, louvers in exterior</w:t>
            </w:r>
            <w:r>
              <w:rPr>
                <w:spacing w:val="-8"/>
                <w:sz w:val="22"/>
              </w:rPr>
              <w:t> </w:t>
            </w:r>
            <w:r>
              <w:rPr>
                <w:sz w:val="22"/>
              </w:rPr>
              <w:t>walls</w:t>
            </w:r>
          </w:p>
        </w:tc>
        <w:tc>
          <w:tcPr>
            <w:tcW w:w="1155" w:type="dxa"/>
          </w:tcPr>
          <w:p>
            <w:pPr>
              <w:pStyle w:val="TableParagraph"/>
              <w:spacing w:before="116"/>
              <w:ind w:left="209"/>
              <w:rPr>
                <w:sz w:val="22"/>
              </w:rPr>
            </w:pPr>
            <w:r>
              <w:rPr>
                <w:w w:val="100"/>
                <w:sz w:val="22"/>
              </w:rPr>
              <w:t>A</w:t>
            </w:r>
          </w:p>
        </w:tc>
        <w:tc>
          <w:tcPr>
            <w:tcW w:w="2254" w:type="dxa"/>
          </w:tcPr>
          <w:p>
            <w:pPr>
              <w:pStyle w:val="TableParagraph"/>
              <w:spacing w:before="116"/>
              <w:ind w:left="494"/>
              <w:rPr>
                <w:sz w:val="22"/>
              </w:rPr>
            </w:pPr>
            <w:r>
              <w:rPr>
                <w:sz w:val="22"/>
              </w:rPr>
              <w:t>To Match Adjacent</w:t>
            </w:r>
          </w:p>
        </w:tc>
      </w:tr>
    </w:tbl>
    <w:p>
      <w:pPr>
        <w:spacing w:after="0"/>
        <w:rPr>
          <w:sz w:val="22"/>
        </w:rPr>
        <w:sectPr>
          <w:pgSz w:w="12240" w:h="15840"/>
          <w:pgMar w:header="722" w:footer="768" w:top="1340" w:bottom="960" w:left="1280" w:right="1320"/>
        </w:sectPr>
      </w:pPr>
    </w:p>
    <w:p>
      <w:pPr>
        <w:pStyle w:val="BodyText"/>
        <w:spacing w:before="9"/>
        <w:ind w:firstLine="0"/>
        <w:rPr>
          <w:sz w:val="7"/>
        </w:rPr>
      </w:pPr>
    </w:p>
    <w:tbl>
      <w:tblPr>
        <w:tblW w:w="0" w:type="auto"/>
        <w:jc w:val="left"/>
        <w:tblInd w:w="40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0" w:type="dxa"/>
          <w:left w:w="0" w:type="dxa"/>
          <w:bottom w:w="0" w:type="dxa"/>
          <w:right w:w="0" w:type="dxa"/>
        </w:tblCellMar>
        <w:tblLook w:val="01E0"/>
      </w:tblPr>
      <w:tblGrid>
        <w:gridCol w:w="469"/>
        <w:gridCol w:w="4599"/>
        <w:gridCol w:w="1029"/>
        <w:gridCol w:w="2267"/>
      </w:tblGrid>
      <w:tr>
        <w:trPr>
          <w:trHeight w:val="875" w:hRule="atLeast"/>
        </w:trPr>
        <w:tc>
          <w:tcPr>
            <w:tcW w:w="469" w:type="dxa"/>
          </w:tcPr>
          <w:p>
            <w:pPr>
              <w:pStyle w:val="TableParagraph"/>
              <w:spacing w:line="244" w:lineRule="exact" w:before="0"/>
              <w:ind w:left="50"/>
              <w:rPr>
                <w:sz w:val="22"/>
              </w:rPr>
            </w:pPr>
            <w:r>
              <w:rPr>
                <w:sz w:val="22"/>
              </w:rPr>
              <w:t>G.</w:t>
            </w:r>
          </w:p>
        </w:tc>
        <w:tc>
          <w:tcPr>
            <w:tcW w:w="4599" w:type="dxa"/>
          </w:tcPr>
          <w:p>
            <w:pPr>
              <w:pStyle w:val="TableParagraph"/>
              <w:spacing w:before="0"/>
              <w:ind w:left="171" w:right="166" w:hanging="5"/>
              <w:rPr>
                <w:sz w:val="22"/>
              </w:rPr>
            </w:pPr>
            <w:r>
              <w:rPr>
                <w:sz w:val="22"/>
              </w:rPr>
              <w:t>Perimeter Joints of door frames, window frames And other framed openings in walls with no Finished edge flange.</w:t>
            </w:r>
          </w:p>
        </w:tc>
        <w:tc>
          <w:tcPr>
            <w:tcW w:w="1029" w:type="dxa"/>
          </w:tcPr>
          <w:p>
            <w:pPr>
              <w:pStyle w:val="TableParagraph"/>
              <w:spacing w:line="244" w:lineRule="exact" w:before="0"/>
              <w:ind w:left="94"/>
              <w:rPr>
                <w:sz w:val="22"/>
              </w:rPr>
            </w:pPr>
            <w:r>
              <w:rPr>
                <w:w w:val="100"/>
                <w:sz w:val="22"/>
              </w:rPr>
              <w:t>A</w:t>
            </w:r>
          </w:p>
        </w:tc>
        <w:tc>
          <w:tcPr>
            <w:tcW w:w="2267" w:type="dxa"/>
          </w:tcPr>
          <w:p>
            <w:pPr>
              <w:pStyle w:val="TableParagraph"/>
              <w:spacing w:line="244" w:lineRule="exact" w:before="0"/>
              <w:ind w:right="47"/>
              <w:jc w:val="right"/>
              <w:rPr>
                <w:sz w:val="22"/>
              </w:rPr>
            </w:pPr>
            <w:r>
              <w:rPr>
                <w:sz w:val="22"/>
              </w:rPr>
              <w:t>To Match Adjacent</w:t>
            </w:r>
          </w:p>
        </w:tc>
      </w:tr>
      <w:tr>
        <w:trPr>
          <w:trHeight w:val="1251" w:hRule="atLeast"/>
        </w:trPr>
        <w:tc>
          <w:tcPr>
            <w:tcW w:w="469" w:type="dxa"/>
          </w:tcPr>
          <w:p>
            <w:pPr>
              <w:pStyle w:val="TableParagraph"/>
              <w:ind w:left="50"/>
              <w:rPr>
                <w:sz w:val="22"/>
              </w:rPr>
            </w:pPr>
            <w:r>
              <w:rPr>
                <w:sz w:val="22"/>
              </w:rPr>
              <w:t>H.</w:t>
            </w:r>
          </w:p>
        </w:tc>
        <w:tc>
          <w:tcPr>
            <w:tcW w:w="4599" w:type="dxa"/>
          </w:tcPr>
          <w:p>
            <w:pPr>
              <w:pStyle w:val="TableParagraph"/>
              <w:ind w:left="166"/>
              <w:rPr>
                <w:sz w:val="22"/>
              </w:rPr>
            </w:pPr>
            <w:r>
              <w:rPr>
                <w:sz w:val="22"/>
              </w:rPr>
              <w:t>Open Joints at penetrations through walls,</w:t>
            </w:r>
          </w:p>
          <w:p>
            <w:pPr>
              <w:pStyle w:val="TableParagraph"/>
              <w:spacing w:before="1"/>
              <w:ind w:left="171" w:right="196"/>
              <w:jc w:val="both"/>
              <w:rPr>
                <w:sz w:val="22"/>
              </w:rPr>
            </w:pPr>
            <w:r>
              <w:rPr>
                <w:sz w:val="22"/>
              </w:rPr>
              <w:t>and open joints at penetrations through concrete or gypsum board ceilings, where intended to be tight sealed joints</w:t>
            </w:r>
          </w:p>
        </w:tc>
        <w:tc>
          <w:tcPr>
            <w:tcW w:w="1029" w:type="dxa"/>
          </w:tcPr>
          <w:p>
            <w:pPr>
              <w:pStyle w:val="TableParagraph"/>
              <w:ind w:left="94"/>
              <w:rPr>
                <w:sz w:val="22"/>
              </w:rPr>
            </w:pPr>
            <w:r>
              <w:rPr>
                <w:w w:val="100"/>
                <w:sz w:val="22"/>
              </w:rPr>
              <w:t>A</w:t>
            </w:r>
          </w:p>
        </w:tc>
        <w:tc>
          <w:tcPr>
            <w:tcW w:w="2267" w:type="dxa"/>
          </w:tcPr>
          <w:p>
            <w:pPr>
              <w:pStyle w:val="TableParagraph"/>
              <w:ind w:right="47"/>
              <w:jc w:val="right"/>
              <w:rPr>
                <w:sz w:val="22"/>
              </w:rPr>
            </w:pPr>
            <w:r>
              <w:rPr>
                <w:sz w:val="22"/>
              </w:rPr>
              <w:t>To Match Adjacent</w:t>
            </w:r>
          </w:p>
        </w:tc>
      </w:tr>
      <w:tr>
        <w:trPr>
          <w:trHeight w:val="746" w:hRule="atLeast"/>
        </w:trPr>
        <w:tc>
          <w:tcPr>
            <w:tcW w:w="469" w:type="dxa"/>
          </w:tcPr>
          <w:p>
            <w:pPr>
              <w:pStyle w:val="TableParagraph"/>
              <w:spacing w:before="116"/>
              <w:ind w:left="50"/>
              <w:rPr>
                <w:sz w:val="22"/>
              </w:rPr>
            </w:pPr>
            <w:r>
              <w:rPr>
                <w:sz w:val="22"/>
              </w:rPr>
              <w:t>I.</w:t>
            </w:r>
          </w:p>
        </w:tc>
        <w:tc>
          <w:tcPr>
            <w:tcW w:w="4599" w:type="dxa"/>
          </w:tcPr>
          <w:p>
            <w:pPr>
              <w:pStyle w:val="TableParagraph"/>
              <w:spacing w:before="116"/>
              <w:ind w:left="171" w:right="234" w:hanging="5"/>
              <w:rPr>
                <w:sz w:val="22"/>
              </w:rPr>
            </w:pPr>
            <w:r>
              <w:rPr>
                <w:sz w:val="22"/>
              </w:rPr>
              <w:t>Open Joint, between dissimilar materials where intended to be tight, sealed joint.</w:t>
            </w:r>
          </w:p>
        </w:tc>
        <w:tc>
          <w:tcPr>
            <w:tcW w:w="1029" w:type="dxa"/>
          </w:tcPr>
          <w:p>
            <w:pPr>
              <w:pStyle w:val="TableParagraph"/>
              <w:spacing w:before="116"/>
              <w:ind w:left="94"/>
              <w:rPr>
                <w:sz w:val="22"/>
              </w:rPr>
            </w:pPr>
            <w:r>
              <w:rPr>
                <w:w w:val="100"/>
                <w:sz w:val="22"/>
              </w:rPr>
              <w:t>A</w:t>
            </w:r>
          </w:p>
        </w:tc>
        <w:tc>
          <w:tcPr>
            <w:tcW w:w="2267" w:type="dxa"/>
          </w:tcPr>
          <w:p>
            <w:pPr>
              <w:pStyle w:val="TableParagraph"/>
              <w:spacing w:before="116"/>
              <w:ind w:right="47"/>
              <w:jc w:val="right"/>
              <w:rPr>
                <w:sz w:val="22"/>
              </w:rPr>
            </w:pPr>
            <w:r>
              <w:rPr>
                <w:sz w:val="22"/>
              </w:rPr>
              <w:t>To Match Adjacent</w:t>
            </w:r>
          </w:p>
        </w:tc>
      </w:tr>
      <w:tr>
        <w:trPr>
          <w:trHeight w:val="998" w:hRule="atLeast"/>
        </w:trPr>
        <w:tc>
          <w:tcPr>
            <w:tcW w:w="469" w:type="dxa"/>
          </w:tcPr>
          <w:p>
            <w:pPr>
              <w:pStyle w:val="TableParagraph"/>
              <w:spacing w:before="116"/>
              <w:ind w:left="50"/>
              <w:rPr>
                <w:sz w:val="22"/>
              </w:rPr>
            </w:pPr>
            <w:r>
              <w:rPr>
                <w:sz w:val="22"/>
              </w:rPr>
              <w:t>J.</w:t>
            </w:r>
          </w:p>
        </w:tc>
        <w:tc>
          <w:tcPr>
            <w:tcW w:w="4599" w:type="dxa"/>
          </w:tcPr>
          <w:p>
            <w:pPr>
              <w:pStyle w:val="TableParagraph"/>
              <w:spacing w:before="116"/>
              <w:ind w:left="171" w:right="365" w:hanging="5"/>
              <w:jc w:val="both"/>
              <w:rPr>
                <w:sz w:val="22"/>
              </w:rPr>
            </w:pPr>
            <w:r>
              <w:rPr>
                <w:sz w:val="22"/>
              </w:rPr>
              <w:t>Joints where edge trim of gypsum board abuts irregular surfaces or other surfaces and leaves open joint</w:t>
            </w:r>
          </w:p>
        </w:tc>
        <w:tc>
          <w:tcPr>
            <w:tcW w:w="1029" w:type="dxa"/>
          </w:tcPr>
          <w:p>
            <w:pPr>
              <w:pStyle w:val="TableParagraph"/>
              <w:spacing w:before="116"/>
              <w:ind w:left="94"/>
              <w:rPr>
                <w:sz w:val="22"/>
              </w:rPr>
            </w:pPr>
            <w:r>
              <w:rPr>
                <w:w w:val="100"/>
                <w:sz w:val="22"/>
              </w:rPr>
              <w:t>A</w:t>
            </w:r>
          </w:p>
        </w:tc>
        <w:tc>
          <w:tcPr>
            <w:tcW w:w="2267" w:type="dxa"/>
          </w:tcPr>
          <w:p>
            <w:pPr>
              <w:pStyle w:val="TableParagraph"/>
              <w:spacing w:before="116"/>
              <w:ind w:right="47"/>
              <w:jc w:val="right"/>
              <w:rPr>
                <w:sz w:val="22"/>
              </w:rPr>
            </w:pPr>
            <w:r>
              <w:rPr>
                <w:sz w:val="22"/>
              </w:rPr>
              <w:t>To Match Adjacent</w:t>
            </w:r>
          </w:p>
        </w:tc>
      </w:tr>
      <w:tr>
        <w:trPr>
          <w:trHeight w:val="493" w:hRule="atLeast"/>
        </w:trPr>
        <w:tc>
          <w:tcPr>
            <w:tcW w:w="469" w:type="dxa"/>
          </w:tcPr>
          <w:p>
            <w:pPr>
              <w:pStyle w:val="TableParagraph"/>
              <w:spacing w:before="116"/>
              <w:ind w:left="50"/>
              <w:rPr>
                <w:sz w:val="22"/>
              </w:rPr>
            </w:pPr>
            <w:r>
              <w:rPr>
                <w:sz w:val="22"/>
              </w:rPr>
              <w:t>K.</w:t>
            </w:r>
          </w:p>
        </w:tc>
        <w:tc>
          <w:tcPr>
            <w:tcW w:w="4599" w:type="dxa"/>
          </w:tcPr>
          <w:p>
            <w:pPr>
              <w:pStyle w:val="TableParagraph"/>
              <w:spacing w:before="116"/>
              <w:ind w:left="166"/>
              <w:rPr>
                <w:sz w:val="22"/>
              </w:rPr>
            </w:pPr>
            <w:r>
              <w:rPr>
                <w:sz w:val="22"/>
              </w:rPr>
              <w:t>Within and perimeter of Masonry System</w:t>
            </w:r>
          </w:p>
        </w:tc>
        <w:tc>
          <w:tcPr>
            <w:tcW w:w="1029" w:type="dxa"/>
          </w:tcPr>
          <w:p>
            <w:pPr>
              <w:pStyle w:val="TableParagraph"/>
              <w:spacing w:before="116"/>
              <w:ind w:left="94"/>
              <w:rPr>
                <w:sz w:val="22"/>
              </w:rPr>
            </w:pPr>
            <w:r>
              <w:rPr>
                <w:w w:val="100"/>
                <w:sz w:val="22"/>
              </w:rPr>
              <w:t>A</w:t>
            </w:r>
          </w:p>
        </w:tc>
        <w:tc>
          <w:tcPr>
            <w:tcW w:w="2267" w:type="dxa"/>
          </w:tcPr>
          <w:p>
            <w:pPr>
              <w:pStyle w:val="TableParagraph"/>
              <w:spacing w:before="116"/>
              <w:ind w:right="47"/>
              <w:jc w:val="right"/>
              <w:rPr>
                <w:sz w:val="22"/>
              </w:rPr>
            </w:pPr>
            <w:r>
              <w:rPr>
                <w:sz w:val="22"/>
              </w:rPr>
              <w:t>To Match Adjacent</w:t>
            </w:r>
          </w:p>
        </w:tc>
      </w:tr>
      <w:tr>
        <w:trPr>
          <w:trHeight w:val="1504" w:hRule="atLeast"/>
        </w:trPr>
        <w:tc>
          <w:tcPr>
            <w:tcW w:w="469" w:type="dxa"/>
          </w:tcPr>
          <w:p>
            <w:pPr>
              <w:pStyle w:val="TableParagraph"/>
              <w:ind w:left="50"/>
              <w:rPr>
                <w:sz w:val="22"/>
              </w:rPr>
            </w:pPr>
            <w:r>
              <w:rPr>
                <w:sz w:val="22"/>
              </w:rPr>
              <w:t>L.</w:t>
            </w:r>
          </w:p>
        </w:tc>
        <w:tc>
          <w:tcPr>
            <w:tcW w:w="4599" w:type="dxa"/>
          </w:tcPr>
          <w:p>
            <w:pPr>
              <w:pStyle w:val="TableParagraph"/>
              <w:ind w:left="171" w:right="759" w:hanging="5"/>
              <w:rPr>
                <w:sz w:val="22"/>
              </w:rPr>
            </w:pPr>
            <w:r>
              <w:rPr>
                <w:sz w:val="22"/>
              </w:rPr>
              <w:t>Intersection of dissimilar materials which installations not uniform or where workmanship does not meet acceptable</w:t>
            </w:r>
          </w:p>
          <w:p>
            <w:pPr>
              <w:pStyle w:val="TableParagraph"/>
              <w:spacing w:before="2"/>
              <w:ind w:left="171" w:right="76"/>
              <w:rPr>
                <w:sz w:val="22"/>
              </w:rPr>
            </w:pPr>
            <w:r>
              <w:rPr>
                <w:sz w:val="22"/>
              </w:rPr>
              <w:t>construction tolerances, when such workmanship is acceptable by the Architect.</w:t>
            </w:r>
          </w:p>
        </w:tc>
        <w:tc>
          <w:tcPr>
            <w:tcW w:w="1029" w:type="dxa"/>
          </w:tcPr>
          <w:p>
            <w:pPr>
              <w:pStyle w:val="TableParagraph"/>
              <w:ind w:left="94"/>
              <w:rPr>
                <w:sz w:val="22"/>
              </w:rPr>
            </w:pPr>
            <w:r>
              <w:rPr>
                <w:w w:val="100"/>
                <w:sz w:val="22"/>
              </w:rPr>
              <w:t>A</w:t>
            </w:r>
          </w:p>
        </w:tc>
        <w:tc>
          <w:tcPr>
            <w:tcW w:w="2267" w:type="dxa"/>
          </w:tcPr>
          <w:p>
            <w:pPr>
              <w:pStyle w:val="TableParagraph"/>
              <w:ind w:right="47"/>
              <w:jc w:val="right"/>
              <w:rPr>
                <w:sz w:val="22"/>
              </w:rPr>
            </w:pPr>
            <w:r>
              <w:rPr>
                <w:sz w:val="22"/>
              </w:rPr>
              <w:t>To Match Adjacent</w:t>
            </w:r>
          </w:p>
        </w:tc>
      </w:tr>
      <w:tr>
        <w:trPr>
          <w:trHeight w:val="1758" w:hRule="atLeast"/>
        </w:trPr>
        <w:tc>
          <w:tcPr>
            <w:tcW w:w="469" w:type="dxa"/>
          </w:tcPr>
          <w:p>
            <w:pPr>
              <w:pStyle w:val="TableParagraph"/>
              <w:ind w:left="50"/>
              <w:rPr>
                <w:sz w:val="22"/>
              </w:rPr>
            </w:pPr>
            <w:r>
              <w:rPr>
                <w:sz w:val="22"/>
              </w:rPr>
              <w:t>M.</w:t>
            </w:r>
          </w:p>
        </w:tc>
        <w:tc>
          <w:tcPr>
            <w:tcW w:w="4599" w:type="dxa"/>
          </w:tcPr>
          <w:p>
            <w:pPr>
              <w:pStyle w:val="TableParagraph"/>
              <w:ind w:left="171" w:right="850" w:hanging="5"/>
              <w:rPr>
                <w:sz w:val="22"/>
              </w:rPr>
            </w:pPr>
            <w:r>
              <w:rPr>
                <w:sz w:val="22"/>
              </w:rPr>
              <w:t>Metal Siding, louvers, fixtures and other penetrations in building enclosures not otherwise sealed weathertight.</w:t>
            </w:r>
          </w:p>
          <w:p>
            <w:pPr>
              <w:pStyle w:val="TableParagraph"/>
              <w:spacing w:before="2"/>
              <w:ind w:left="171" w:right="624"/>
              <w:jc w:val="both"/>
              <w:rPr>
                <w:sz w:val="22"/>
              </w:rPr>
            </w:pPr>
            <w:r>
              <w:rPr>
                <w:sz w:val="22"/>
              </w:rPr>
              <w:t>Unless noted otherwise provide continuous sealing perimeter joints and all other joints at exterior soffits.</w:t>
            </w:r>
          </w:p>
        </w:tc>
        <w:tc>
          <w:tcPr>
            <w:tcW w:w="1029" w:type="dxa"/>
          </w:tcPr>
          <w:p>
            <w:pPr>
              <w:pStyle w:val="TableParagraph"/>
              <w:ind w:left="94"/>
              <w:rPr>
                <w:sz w:val="22"/>
              </w:rPr>
            </w:pPr>
            <w:r>
              <w:rPr>
                <w:w w:val="100"/>
                <w:sz w:val="22"/>
              </w:rPr>
              <w:t>A</w:t>
            </w:r>
          </w:p>
        </w:tc>
        <w:tc>
          <w:tcPr>
            <w:tcW w:w="2267" w:type="dxa"/>
          </w:tcPr>
          <w:p>
            <w:pPr>
              <w:pStyle w:val="TableParagraph"/>
              <w:ind w:right="47"/>
              <w:jc w:val="right"/>
              <w:rPr>
                <w:sz w:val="22"/>
              </w:rPr>
            </w:pPr>
            <w:r>
              <w:rPr>
                <w:sz w:val="22"/>
              </w:rPr>
              <w:t>To Match Adjacent</w:t>
            </w:r>
          </w:p>
        </w:tc>
      </w:tr>
      <w:tr>
        <w:trPr>
          <w:trHeight w:val="2516" w:hRule="atLeast"/>
        </w:trPr>
        <w:tc>
          <w:tcPr>
            <w:tcW w:w="469" w:type="dxa"/>
          </w:tcPr>
          <w:p>
            <w:pPr>
              <w:pStyle w:val="TableParagraph"/>
              <w:spacing w:before="116"/>
              <w:ind w:left="50"/>
              <w:rPr>
                <w:sz w:val="22"/>
              </w:rPr>
            </w:pPr>
            <w:r>
              <w:rPr>
                <w:sz w:val="22"/>
              </w:rPr>
              <w:t>N.</w:t>
            </w:r>
          </w:p>
        </w:tc>
        <w:tc>
          <w:tcPr>
            <w:tcW w:w="4599" w:type="dxa"/>
          </w:tcPr>
          <w:p>
            <w:pPr>
              <w:pStyle w:val="TableParagraph"/>
              <w:spacing w:line="252" w:lineRule="exact" w:before="116"/>
              <w:ind w:left="166"/>
              <w:rPr>
                <w:sz w:val="22"/>
              </w:rPr>
            </w:pPr>
            <w:r>
              <w:rPr>
                <w:sz w:val="22"/>
              </w:rPr>
              <w:t>Paving Floors joints</w:t>
            </w:r>
          </w:p>
          <w:p>
            <w:pPr>
              <w:pStyle w:val="TableParagraph"/>
              <w:spacing w:before="0"/>
              <w:ind w:left="171" w:right="388"/>
              <w:rPr>
                <w:sz w:val="22"/>
              </w:rPr>
            </w:pPr>
            <w:r>
              <w:rPr>
                <w:sz w:val="22"/>
              </w:rPr>
              <w:t>Expansion joints in and around concrete pavement, curbs, or other horizontal surfaces. In horizontal joints in concrete floor where intended to be tight, sealed joints.</w:t>
            </w:r>
          </w:p>
          <w:p>
            <w:pPr>
              <w:pStyle w:val="TableParagraph"/>
              <w:spacing w:before="0"/>
              <w:ind w:left="171" w:right="706"/>
              <w:jc w:val="both"/>
              <w:rPr>
                <w:sz w:val="22"/>
              </w:rPr>
            </w:pPr>
            <w:r>
              <w:rPr>
                <w:sz w:val="22"/>
              </w:rPr>
              <w:t>Expansion joints in concrete slabs, around column piers penetrating concrete slab, at all natural concrete slab expansion control points as specified</w:t>
            </w:r>
          </w:p>
        </w:tc>
        <w:tc>
          <w:tcPr>
            <w:tcW w:w="1029" w:type="dxa"/>
          </w:tcPr>
          <w:p>
            <w:pPr>
              <w:pStyle w:val="TableParagraph"/>
              <w:spacing w:before="116"/>
              <w:ind w:left="94"/>
              <w:rPr>
                <w:sz w:val="22"/>
              </w:rPr>
            </w:pPr>
            <w:r>
              <w:rPr>
                <w:w w:val="100"/>
                <w:sz w:val="22"/>
              </w:rPr>
              <w:t>E</w:t>
            </w:r>
          </w:p>
        </w:tc>
        <w:tc>
          <w:tcPr>
            <w:tcW w:w="2267" w:type="dxa"/>
          </w:tcPr>
          <w:p>
            <w:pPr>
              <w:pStyle w:val="TableParagraph"/>
              <w:spacing w:before="116"/>
              <w:ind w:right="47"/>
              <w:jc w:val="right"/>
              <w:rPr>
                <w:sz w:val="22"/>
              </w:rPr>
            </w:pPr>
            <w:r>
              <w:rPr>
                <w:sz w:val="22"/>
              </w:rPr>
              <w:t>To Match Adjacent</w:t>
            </w:r>
          </w:p>
        </w:tc>
      </w:tr>
      <w:tr>
        <w:trPr>
          <w:trHeight w:val="493" w:hRule="atLeast"/>
        </w:trPr>
        <w:tc>
          <w:tcPr>
            <w:tcW w:w="469" w:type="dxa"/>
          </w:tcPr>
          <w:p>
            <w:pPr>
              <w:pStyle w:val="TableParagraph"/>
              <w:ind w:left="50"/>
              <w:rPr>
                <w:sz w:val="22"/>
              </w:rPr>
            </w:pPr>
            <w:r>
              <w:rPr>
                <w:sz w:val="22"/>
              </w:rPr>
              <w:t>O.</w:t>
            </w:r>
          </w:p>
        </w:tc>
        <w:tc>
          <w:tcPr>
            <w:tcW w:w="4599" w:type="dxa"/>
          </w:tcPr>
          <w:p>
            <w:pPr>
              <w:pStyle w:val="TableParagraph"/>
              <w:ind w:left="166"/>
              <w:rPr>
                <w:sz w:val="22"/>
              </w:rPr>
            </w:pPr>
            <w:r>
              <w:rPr>
                <w:sz w:val="22"/>
              </w:rPr>
              <w:t>Within Glazing Systems</w:t>
            </w:r>
          </w:p>
        </w:tc>
        <w:tc>
          <w:tcPr>
            <w:tcW w:w="1029" w:type="dxa"/>
          </w:tcPr>
          <w:p>
            <w:pPr>
              <w:pStyle w:val="TableParagraph"/>
              <w:ind w:left="94"/>
              <w:rPr>
                <w:sz w:val="22"/>
              </w:rPr>
            </w:pPr>
            <w:r>
              <w:rPr>
                <w:w w:val="100"/>
                <w:sz w:val="22"/>
              </w:rPr>
              <w:t>B</w:t>
            </w:r>
          </w:p>
        </w:tc>
        <w:tc>
          <w:tcPr>
            <w:tcW w:w="2267" w:type="dxa"/>
          </w:tcPr>
          <w:p>
            <w:pPr>
              <w:pStyle w:val="TableParagraph"/>
              <w:ind w:right="47"/>
              <w:jc w:val="right"/>
              <w:rPr>
                <w:sz w:val="22"/>
              </w:rPr>
            </w:pPr>
            <w:r>
              <w:rPr>
                <w:sz w:val="22"/>
              </w:rPr>
              <w:t>To Match Adjacent</w:t>
            </w:r>
          </w:p>
        </w:tc>
      </w:tr>
      <w:tr>
        <w:trPr>
          <w:trHeight w:val="369" w:hRule="atLeast"/>
        </w:trPr>
        <w:tc>
          <w:tcPr>
            <w:tcW w:w="469" w:type="dxa"/>
          </w:tcPr>
          <w:p>
            <w:pPr>
              <w:pStyle w:val="TableParagraph"/>
              <w:spacing w:line="233" w:lineRule="exact" w:before="116"/>
              <w:ind w:left="50"/>
              <w:rPr>
                <w:sz w:val="22"/>
              </w:rPr>
            </w:pPr>
            <w:r>
              <w:rPr>
                <w:sz w:val="22"/>
              </w:rPr>
              <w:t>P.</w:t>
            </w:r>
          </w:p>
        </w:tc>
        <w:tc>
          <w:tcPr>
            <w:tcW w:w="4599" w:type="dxa"/>
          </w:tcPr>
          <w:p>
            <w:pPr>
              <w:pStyle w:val="TableParagraph"/>
              <w:spacing w:line="233" w:lineRule="exact" w:before="116"/>
              <w:ind w:left="166"/>
              <w:rPr>
                <w:sz w:val="22"/>
              </w:rPr>
            </w:pPr>
            <w:r>
              <w:rPr>
                <w:sz w:val="22"/>
              </w:rPr>
              <w:t>Within Roofing System</w:t>
            </w:r>
          </w:p>
        </w:tc>
        <w:tc>
          <w:tcPr>
            <w:tcW w:w="1029" w:type="dxa"/>
          </w:tcPr>
          <w:p>
            <w:pPr>
              <w:pStyle w:val="TableParagraph"/>
              <w:spacing w:line="233" w:lineRule="exact" w:before="116"/>
              <w:ind w:left="94"/>
              <w:rPr>
                <w:sz w:val="22"/>
              </w:rPr>
            </w:pPr>
            <w:r>
              <w:rPr>
                <w:sz w:val="22"/>
              </w:rPr>
              <w:t>A, D</w:t>
            </w:r>
          </w:p>
        </w:tc>
        <w:tc>
          <w:tcPr>
            <w:tcW w:w="2267" w:type="dxa"/>
          </w:tcPr>
          <w:p>
            <w:pPr>
              <w:pStyle w:val="TableParagraph"/>
              <w:spacing w:line="233" w:lineRule="exact" w:before="116"/>
              <w:ind w:right="47"/>
              <w:jc w:val="right"/>
              <w:rPr>
                <w:sz w:val="22"/>
              </w:rPr>
            </w:pPr>
            <w:r>
              <w:rPr>
                <w:sz w:val="22"/>
              </w:rPr>
              <w:t>To Match Adjacent</w:t>
            </w:r>
          </w:p>
        </w:tc>
      </w:tr>
    </w:tbl>
    <w:p>
      <w:pPr>
        <w:pStyle w:val="BodyText"/>
        <w:ind w:firstLine="0"/>
        <w:rPr>
          <w:sz w:val="20"/>
        </w:rPr>
      </w:pPr>
    </w:p>
    <w:p>
      <w:pPr>
        <w:pStyle w:val="BodyText"/>
        <w:spacing w:before="7"/>
        <w:ind w:firstLine="0"/>
        <w:rPr>
          <w:sz w:val="21"/>
        </w:rPr>
      </w:pPr>
    </w:p>
    <w:p>
      <w:pPr>
        <w:pStyle w:val="BodyText"/>
        <w:spacing w:before="1"/>
        <w:ind w:left="160" w:firstLine="0"/>
      </w:pPr>
      <w:r>
        <w:rPr/>
        <w:t>END OF SECTION 079200</w:t>
      </w:r>
    </w:p>
    <w:sectPr>
      <w:pgSz w:w="12240" w:h="15840"/>
      <w:pgMar w:header="722" w:footer="768" w:top="1340" w:bottom="960" w:left="1280" w:right="1320"/>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0"/>
    <w:family w:val="roman"/>
    <w:pitch w:val="variable"/>
  </w:font>
  <w:font w:name="Arial">
    <w:altName w:val="Arial"/>
    <w:charset w:val="0"/>
    <w:family w:val="swiss"/>
    <w:pitch w:val="variable"/>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rPr>
        <w:sz w:val="20"/>
      </w:rPr>
    </w:pPr>
    <w:r>
      <w:rPr/>
      <w:pict>
        <v:shape style="position:absolute;margin-left:71.024002pt;margin-top:742.618103pt;width:91.65pt;height:14.25pt;mso-position-horizontal-relative:page;mso-position-vertical-relative:page;z-index:-17464" type="#_x0000_t202" filled="false" stroked="false">
          <v:textbox inset="0,0,0,0">
            <w:txbxContent>
              <w:p>
                <w:pPr>
                  <w:pStyle w:val="BodyText"/>
                  <w:spacing w:before="11"/>
                  <w:ind w:left="20" w:firstLine="0"/>
                </w:pPr>
                <w:r>
                  <w:rPr/>
                  <w:t>JOINT SEALANTS</w:t>
                </w:r>
              </w:p>
            </w:txbxContent>
          </v:textbox>
          <w10:wrap type="none"/>
        </v:shape>
      </w:pict>
    </w:r>
    <w:r>
      <w:rPr/>
      <w:pict>
        <v:shape style="position:absolute;margin-left:479.459991pt;margin-top:742.618103pt;width:56.2pt;height:14.25pt;mso-position-horizontal-relative:page;mso-position-vertical-relative:page;z-index:-17440" type="#_x0000_t202" filled="false" stroked="false">
          <v:textbox inset="0,0,0,0">
            <w:txbxContent>
              <w:p>
                <w:pPr>
                  <w:pStyle w:val="BodyText"/>
                  <w:spacing w:before="11"/>
                  <w:ind w:left="20" w:firstLine="0"/>
                </w:pPr>
                <w:r>
                  <w:rPr/>
                  <w:t>079200 - </w:t>
                </w:r>
                <w:r>
                  <w:rPr/>
                  <w:fldChar w:fldCharType="begin"/>
                </w:r>
                <w:r>
                  <w:rPr/>
                  <w:instrText> PAGE </w:instrText>
                </w:r>
                <w:r>
                  <w:rPr/>
                  <w:fldChar w:fldCharType="separate"/>
                </w:r>
                <w:r>
                  <w:rPr/>
                  <w:t>10</w:t>
                </w:r>
                <w:r>
                  <w:rPr/>
                  <w:fldChar w:fldCharType="end"/>
                </w:r>
              </w:p>
            </w:txbxContent>
          </v:textbox>
          <w10:wrap type="none"/>
        </v:shape>
      </w:pict>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space="preserve">
  <w:p>
    <w:pPr>
      <w:pStyle w:val="BodyText"/>
      <w:spacing w:line="14" w:lineRule="auto"/>
      <w:ind w:firstLine="0"/>
      <w:rPr>
        <w:sz w:val="20"/>
      </w:rPr>
    </w:pPr>
    <w:r>
      <w:rPr/>
      <w:pict>
        <v:shapetype id="_x0000_t202" o:spt="202" coordsize="21600,21600" path="m,l,21600r21600,l21600,xe">
          <v:stroke joinstyle="miter"/>
          <v:path gradientshapeok="t" o:connecttype="rect"/>
        </v:shapetype>
        <v:shape style="position:absolute;margin-left:506.100006pt;margin-top:35.122108pt;width:35.15pt;height:14.25pt;mso-position-horizontal-relative:page;mso-position-vertical-relative:page;z-index:-17488" type="#_x0000_t202" filled="false" stroked="false">
          <v:textbox inset="0,0,0,0">
            <w:txbxContent>
              <w:p>
                <w:pPr>
                  <w:pStyle w:val="BodyText"/>
                  <w:spacing w:before="11"/>
                  <w:ind w:left="20" w:firstLine="0"/>
                </w:pPr>
                <w:r>
                  <w:rPr/>
                  <w:t>079200</w:t>
                </w:r>
              </w:p>
            </w:txbxContent>
          </v:textbox>
          <w10:wrap type="none"/>
        </v:shape>
      </w:pict>
    </w: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3">
    <w:multiLevelType w:val="hybridMultilevel"/>
    <w:lvl w:ilvl="0">
      <w:start w:val="3"/>
      <w:numFmt w:val="decimal"/>
      <w:lvlText w:val="%1"/>
      <w:lvlJc w:val="left"/>
      <w:pPr>
        <w:ind w:left="1024" w:hanging="864"/>
        <w:jc w:val="left"/>
      </w:pPr>
      <w:rPr>
        <w:rFonts w:hint="default"/>
        <w:lang w:val="en-us" w:eastAsia="en-us" w:bidi="en-us"/>
      </w:rPr>
    </w:lvl>
    <w:lvl w:ilvl="1">
      <w:start w:val="1"/>
      <w:numFmt w:val="decimal"/>
      <w:lvlText w:val="%1.%2"/>
      <w:lvlJc w:val="left"/>
      <w:pPr>
        <w:ind w:left="1024" w:hanging="864"/>
        <w:jc w:val="left"/>
      </w:pPr>
      <w:rPr>
        <w:rFonts w:hint="default" w:ascii="Times New Roman" w:hAnsi="Times New Roman" w:eastAsia="Times New Roman" w:cs="Times New Roman"/>
        <w:w w:val="100"/>
        <w:sz w:val="22"/>
        <w:szCs w:val="22"/>
        <w:lang w:val="en-us" w:eastAsia="en-us" w:bidi="en-us"/>
      </w:rPr>
    </w:lvl>
    <w:lvl w:ilvl="2">
      <w:start w:val="1"/>
      <w:numFmt w:val="upperLetter"/>
      <w:lvlText w:val="%3."/>
      <w:lvlJc w:val="left"/>
      <w:pPr>
        <w:ind w:left="1024" w:hanging="576"/>
        <w:jc w:val="left"/>
      </w:pPr>
      <w:rPr>
        <w:rFonts w:hint="default" w:ascii="Times New Roman" w:hAnsi="Times New Roman" w:eastAsia="Times New Roman" w:cs="Times New Roman"/>
        <w:spacing w:val="-2"/>
        <w:w w:val="100"/>
        <w:sz w:val="22"/>
        <w:szCs w:val="22"/>
        <w:lang w:val="en-us" w:eastAsia="en-us" w:bidi="en-us"/>
      </w:rPr>
    </w:lvl>
    <w:lvl w:ilvl="3">
      <w:start w:val="1"/>
      <w:numFmt w:val="decimal"/>
      <w:lvlText w:val="%4."/>
      <w:lvlJc w:val="left"/>
      <w:pPr>
        <w:ind w:left="1600" w:hanging="576"/>
        <w:jc w:val="left"/>
      </w:pPr>
      <w:rPr>
        <w:rFonts w:hint="default" w:ascii="Times New Roman" w:hAnsi="Times New Roman" w:eastAsia="Times New Roman" w:cs="Times New Roman"/>
        <w:w w:val="100"/>
        <w:sz w:val="22"/>
        <w:szCs w:val="22"/>
        <w:lang w:val="en-us" w:eastAsia="en-us" w:bidi="en-us"/>
      </w:rPr>
    </w:lvl>
    <w:lvl w:ilvl="4">
      <w:start w:val="1"/>
      <w:numFmt w:val="lowerLetter"/>
      <w:lvlText w:val="%5."/>
      <w:lvlJc w:val="left"/>
      <w:pPr>
        <w:ind w:left="2176" w:hanging="576"/>
        <w:jc w:val="left"/>
      </w:pPr>
      <w:rPr>
        <w:rFonts w:hint="default" w:ascii="Times New Roman" w:hAnsi="Times New Roman" w:eastAsia="Times New Roman" w:cs="Times New Roman"/>
        <w:w w:val="100"/>
        <w:sz w:val="22"/>
        <w:szCs w:val="22"/>
        <w:lang w:val="en-us" w:eastAsia="en-us" w:bidi="en-us"/>
      </w:rPr>
    </w:lvl>
    <w:lvl w:ilvl="5">
      <w:start w:val="0"/>
      <w:numFmt w:val="bullet"/>
      <w:lvlText w:val="•"/>
      <w:lvlJc w:val="left"/>
      <w:pPr>
        <w:ind w:left="4977" w:hanging="576"/>
      </w:pPr>
      <w:rPr>
        <w:rFonts w:hint="default"/>
        <w:lang w:val="en-us" w:eastAsia="en-us" w:bidi="en-us"/>
      </w:rPr>
    </w:lvl>
    <w:lvl w:ilvl="6">
      <w:start w:val="0"/>
      <w:numFmt w:val="bullet"/>
      <w:lvlText w:val="•"/>
      <w:lvlJc w:val="left"/>
      <w:pPr>
        <w:ind w:left="5910" w:hanging="576"/>
      </w:pPr>
      <w:rPr>
        <w:rFonts w:hint="default"/>
        <w:lang w:val="en-us" w:eastAsia="en-us" w:bidi="en-us"/>
      </w:rPr>
    </w:lvl>
    <w:lvl w:ilvl="7">
      <w:start w:val="0"/>
      <w:numFmt w:val="bullet"/>
      <w:lvlText w:val="•"/>
      <w:lvlJc w:val="left"/>
      <w:pPr>
        <w:ind w:left="6842" w:hanging="576"/>
      </w:pPr>
      <w:rPr>
        <w:rFonts w:hint="default"/>
        <w:lang w:val="en-us" w:eastAsia="en-us" w:bidi="en-us"/>
      </w:rPr>
    </w:lvl>
    <w:lvl w:ilvl="8">
      <w:start w:val="0"/>
      <w:numFmt w:val="bullet"/>
      <w:lvlText w:val="•"/>
      <w:lvlJc w:val="left"/>
      <w:pPr>
        <w:ind w:left="7775" w:hanging="576"/>
      </w:pPr>
      <w:rPr>
        <w:rFonts w:hint="default"/>
        <w:lang w:val="en-us" w:eastAsia="en-us" w:bidi="en-us"/>
      </w:rPr>
    </w:lvl>
  </w:abstractNum>
  <w:abstractNum w:abstractNumId="2">
    <w:multiLevelType w:val="hybridMultilevel"/>
    <w:lvl w:ilvl="0">
      <w:start w:val="6"/>
      <w:numFmt w:val="decimal"/>
      <w:lvlText w:val="%1."/>
      <w:lvlJc w:val="left"/>
      <w:pPr>
        <w:ind w:left="1600" w:hanging="576"/>
        <w:jc w:val="left"/>
      </w:pPr>
      <w:rPr>
        <w:rFonts w:hint="default"/>
        <w:w w:val="100"/>
        <w:lang w:val="en-us" w:eastAsia="en-us" w:bidi="en-us"/>
      </w:rPr>
    </w:lvl>
    <w:lvl w:ilvl="1">
      <w:start w:val="1"/>
      <w:numFmt w:val="lowerLetter"/>
      <w:lvlText w:val="%2."/>
      <w:lvlJc w:val="left"/>
      <w:pPr>
        <w:ind w:left="1600" w:hanging="576"/>
        <w:jc w:val="left"/>
      </w:pPr>
      <w:rPr>
        <w:rFonts w:hint="default" w:ascii="Times New Roman" w:hAnsi="Times New Roman" w:eastAsia="Times New Roman" w:cs="Times New Roman"/>
        <w:spacing w:val="-5"/>
        <w:w w:val="99"/>
        <w:sz w:val="24"/>
        <w:szCs w:val="24"/>
        <w:lang w:val="en-us" w:eastAsia="en-us" w:bidi="en-us"/>
      </w:rPr>
    </w:lvl>
    <w:lvl w:ilvl="2">
      <w:start w:val="0"/>
      <w:numFmt w:val="bullet"/>
      <w:lvlText w:val="•"/>
      <w:lvlJc w:val="left"/>
      <w:pPr>
        <w:ind w:left="3208" w:hanging="576"/>
      </w:pPr>
      <w:rPr>
        <w:rFonts w:hint="default"/>
        <w:lang w:val="en-us" w:eastAsia="en-us" w:bidi="en-us"/>
      </w:rPr>
    </w:lvl>
    <w:lvl w:ilvl="3">
      <w:start w:val="0"/>
      <w:numFmt w:val="bullet"/>
      <w:lvlText w:val="•"/>
      <w:lvlJc w:val="left"/>
      <w:pPr>
        <w:ind w:left="4012" w:hanging="576"/>
      </w:pPr>
      <w:rPr>
        <w:rFonts w:hint="default"/>
        <w:lang w:val="en-us" w:eastAsia="en-us" w:bidi="en-us"/>
      </w:rPr>
    </w:lvl>
    <w:lvl w:ilvl="4">
      <w:start w:val="0"/>
      <w:numFmt w:val="bullet"/>
      <w:lvlText w:val="•"/>
      <w:lvlJc w:val="left"/>
      <w:pPr>
        <w:ind w:left="4816" w:hanging="576"/>
      </w:pPr>
      <w:rPr>
        <w:rFonts w:hint="default"/>
        <w:lang w:val="en-us" w:eastAsia="en-us" w:bidi="en-us"/>
      </w:rPr>
    </w:lvl>
    <w:lvl w:ilvl="5">
      <w:start w:val="0"/>
      <w:numFmt w:val="bullet"/>
      <w:lvlText w:val="•"/>
      <w:lvlJc w:val="left"/>
      <w:pPr>
        <w:ind w:left="5620" w:hanging="576"/>
      </w:pPr>
      <w:rPr>
        <w:rFonts w:hint="default"/>
        <w:lang w:val="en-us" w:eastAsia="en-us" w:bidi="en-us"/>
      </w:rPr>
    </w:lvl>
    <w:lvl w:ilvl="6">
      <w:start w:val="0"/>
      <w:numFmt w:val="bullet"/>
      <w:lvlText w:val="•"/>
      <w:lvlJc w:val="left"/>
      <w:pPr>
        <w:ind w:left="6424" w:hanging="576"/>
      </w:pPr>
      <w:rPr>
        <w:rFonts w:hint="default"/>
        <w:lang w:val="en-us" w:eastAsia="en-us" w:bidi="en-us"/>
      </w:rPr>
    </w:lvl>
    <w:lvl w:ilvl="7">
      <w:start w:val="0"/>
      <w:numFmt w:val="bullet"/>
      <w:lvlText w:val="•"/>
      <w:lvlJc w:val="left"/>
      <w:pPr>
        <w:ind w:left="7228" w:hanging="576"/>
      </w:pPr>
      <w:rPr>
        <w:rFonts w:hint="default"/>
        <w:lang w:val="en-us" w:eastAsia="en-us" w:bidi="en-us"/>
      </w:rPr>
    </w:lvl>
    <w:lvl w:ilvl="8">
      <w:start w:val="0"/>
      <w:numFmt w:val="bullet"/>
      <w:lvlText w:val="•"/>
      <w:lvlJc w:val="left"/>
      <w:pPr>
        <w:ind w:left="8032" w:hanging="576"/>
      </w:pPr>
      <w:rPr>
        <w:rFonts w:hint="default"/>
        <w:lang w:val="en-us" w:eastAsia="en-us" w:bidi="en-us"/>
      </w:rPr>
    </w:lvl>
  </w:abstractNum>
  <w:abstractNum w:abstractNumId="1">
    <w:multiLevelType w:val="hybridMultilevel"/>
    <w:lvl w:ilvl="0">
      <w:start w:val="2"/>
      <w:numFmt w:val="decimal"/>
      <w:lvlText w:val="%1"/>
      <w:lvlJc w:val="left"/>
      <w:pPr>
        <w:ind w:left="1024" w:hanging="864"/>
        <w:jc w:val="left"/>
      </w:pPr>
      <w:rPr>
        <w:rFonts w:hint="default"/>
        <w:lang w:val="en-us" w:eastAsia="en-us" w:bidi="en-us"/>
      </w:rPr>
    </w:lvl>
    <w:lvl w:ilvl="1">
      <w:start w:val="1"/>
      <w:numFmt w:val="decimal"/>
      <w:lvlText w:val="%1.%2"/>
      <w:lvlJc w:val="left"/>
      <w:pPr>
        <w:ind w:left="1024" w:hanging="864"/>
        <w:jc w:val="left"/>
      </w:pPr>
      <w:rPr>
        <w:rFonts w:hint="default" w:ascii="Times New Roman" w:hAnsi="Times New Roman" w:eastAsia="Times New Roman" w:cs="Times New Roman"/>
        <w:w w:val="100"/>
        <w:sz w:val="22"/>
        <w:szCs w:val="22"/>
        <w:lang w:val="en-us" w:eastAsia="en-us" w:bidi="en-us"/>
      </w:rPr>
    </w:lvl>
    <w:lvl w:ilvl="2">
      <w:start w:val="1"/>
      <w:numFmt w:val="upperLetter"/>
      <w:lvlText w:val="%3."/>
      <w:lvlJc w:val="left"/>
      <w:pPr>
        <w:ind w:left="1024" w:hanging="576"/>
        <w:jc w:val="left"/>
      </w:pPr>
      <w:rPr>
        <w:rFonts w:hint="default" w:ascii="Times New Roman" w:hAnsi="Times New Roman" w:eastAsia="Times New Roman" w:cs="Times New Roman"/>
        <w:spacing w:val="-2"/>
        <w:w w:val="100"/>
        <w:sz w:val="22"/>
        <w:szCs w:val="22"/>
        <w:lang w:val="en-us" w:eastAsia="en-us" w:bidi="en-us"/>
      </w:rPr>
    </w:lvl>
    <w:lvl w:ilvl="3">
      <w:start w:val="1"/>
      <w:numFmt w:val="decimal"/>
      <w:lvlText w:val="%4."/>
      <w:lvlJc w:val="left"/>
      <w:pPr>
        <w:ind w:left="1600" w:hanging="576"/>
        <w:jc w:val="left"/>
      </w:pPr>
      <w:rPr>
        <w:rFonts w:hint="default" w:ascii="Times New Roman" w:hAnsi="Times New Roman" w:eastAsia="Times New Roman" w:cs="Times New Roman"/>
        <w:w w:val="100"/>
        <w:sz w:val="22"/>
        <w:szCs w:val="22"/>
        <w:lang w:val="en-us" w:eastAsia="en-us" w:bidi="en-us"/>
      </w:rPr>
    </w:lvl>
    <w:lvl w:ilvl="4">
      <w:start w:val="1"/>
      <w:numFmt w:val="lowerLetter"/>
      <w:lvlText w:val="%5."/>
      <w:lvlJc w:val="left"/>
      <w:pPr>
        <w:ind w:left="2176" w:hanging="576"/>
        <w:jc w:val="left"/>
      </w:pPr>
      <w:rPr>
        <w:rFonts w:hint="default" w:ascii="Times New Roman" w:hAnsi="Times New Roman" w:eastAsia="Times New Roman" w:cs="Times New Roman"/>
        <w:w w:val="100"/>
        <w:sz w:val="22"/>
        <w:szCs w:val="22"/>
        <w:lang w:val="en-us" w:eastAsia="en-us" w:bidi="en-us"/>
      </w:rPr>
    </w:lvl>
    <w:lvl w:ilvl="5">
      <w:start w:val="0"/>
      <w:numFmt w:val="bullet"/>
      <w:lvlText w:val="•"/>
      <w:lvlJc w:val="left"/>
      <w:pPr>
        <w:ind w:left="4977" w:hanging="576"/>
      </w:pPr>
      <w:rPr>
        <w:rFonts w:hint="default"/>
        <w:lang w:val="en-us" w:eastAsia="en-us" w:bidi="en-us"/>
      </w:rPr>
    </w:lvl>
    <w:lvl w:ilvl="6">
      <w:start w:val="0"/>
      <w:numFmt w:val="bullet"/>
      <w:lvlText w:val="•"/>
      <w:lvlJc w:val="left"/>
      <w:pPr>
        <w:ind w:left="5910" w:hanging="576"/>
      </w:pPr>
      <w:rPr>
        <w:rFonts w:hint="default"/>
        <w:lang w:val="en-us" w:eastAsia="en-us" w:bidi="en-us"/>
      </w:rPr>
    </w:lvl>
    <w:lvl w:ilvl="7">
      <w:start w:val="0"/>
      <w:numFmt w:val="bullet"/>
      <w:lvlText w:val="•"/>
      <w:lvlJc w:val="left"/>
      <w:pPr>
        <w:ind w:left="6842" w:hanging="576"/>
      </w:pPr>
      <w:rPr>
        <w:rFonts w:hint="default"/>
        <w:lang w:val="en-us" w:eastAsia="en-us" w:bidi="en-us"/>
      </w:rPr>
    </w:lvl>
    <w:lvl w:ilvl="8">
      <w:start w:val="0"/>
      <w:numFmt w:val="bullet"/>
      <w:lvlText w:val="•"/>
      <w:lvlJc w:val="left"/>
      <w:pPr>
        <w:ind w:left="7775" w:hanging="576"/>
      </w:pPr>
      <w:rPr>
        <w:rFonts w:hint="default"/>
        <w:lang w:val="en-us" w:eastAsia="en-us" w:bidi="en-us"/>
      </w:rPr>
    </w:lvl>
  </w:abstractNum>
  <w:abstractNum w:abstractNumId="0">
    <w:multiLevelType w:val="hybridMultilevel"/>
    <w:lvl w:ilvl="0">
      <w:start w:val="1"/>
      <w:numFmt w:val="decimal"/>
      <w:lvlText w:val="%1"/>
      <w:lvlJc w:val="left"/>
      <w:pPr>
        <w:ind w:left="1024" w:hanging="864"/>
        <w:jc w:val="left"/>
      </w:pPr>
      <w:rPr>
        <w:rFonts w:hint="default"/>
        <w:lang w:val="en-us" w:eastAsia="en-us" w:bidi="en-us"/>
      </w:rPr>
    </w:lvl>
    <w:lvl w:ilvl="1">
      <w:start w:val="1"/>
      <w:numFmt w:val="decimal"/>
      <w:lvlText w:val="%1.%2"/>
      <w:lvlJc w:val="left"/>
      <w:pPr>
        <w:ind w:left="1024" w:hanging="864"/>
        <w:jc w:val="left"/>
      </w:pPr>
      <w:rPr>
        <w:rFonts w:hint="default" w:ascii="Times New Roman" w:hAnsi="Times New Roman" w:eastAsia="Times New Roman" w:cs="Times New Roman"/>
        <w:w w:val="100"/>
        <w:sz w:val="22"/>
        <w:szCs w:val="22"/>
        <w:lang w:val="en-us" w:eastAsia="en-us" w:bidi="en-us"/>
      </w:rPr>
    </w:lvl>
    <w:lvl w:ilvl="2">
      <w:start w:val="1"/>
      <w:numFmt w:val="upperLetter"/>
      <w:lvlText w:val="%3."/>
      <w:lvlJc w:val="left"/>
      <w:pPr>
        <w:ind w:left="1024" w:hanging="576"/>
        <w:jc w:val="left"/>
      </w:pPr>
      <w:rPr>
        <w:rFonts w:hint="default" w:ascii="Times New Roman" w:hAnsi="Times New Roman" w:eastAsia="Times New Roman" w:cs="Times New Roman"/>
        <w:spacing w:val="-2"/>
        <w:w w:val="100"/>
        <w:sz w:val="22"/>
        <w:szCs w:val="22"/>
        <w:lang w:val="en-us" w:eastAsia="en-us" w:bidi="en-us"/>
      </w:rPr>
    </w:lvl>
    <w:lvl w:ilvl="3">
      <w:start w:val="1"/>
      <w:numFmt w:val="decimal"/>
      <w:lvlText w:val="%4."/>
      <w:lvlJc w:val="left"/>
      <w:pPr>
        <w:ind w:left="1600" w:hanging="576"/>
        <w:jc w:val="left"/>
      </w:pPr>
      <w:rPr>
        <w:rFonts w:hint="default" w:ascii="Times New Roman" w:hAnsi="Times New Roman" w:eastAsia="Times New Roman" w:cs="Times New Roman"/>
        <w:w w:val="100"/>
        <w:sz w:val="22"/>
        <w:szCs w:val="22"/>
        <w:lang w:val="en-us" w:eastAsia="en-us" w:bidi="en-us"/>
      </w:rPr>
    </w:lvl>
    <w:lvl w:ilvl="4">
      <w:start w:val="1"/>
      <w:numFmt w:val="lowerLetter"/>
      <w:lvlText w:val="%5."/>
      <w:lvlJc w:val="left"/>
      <w:pPr>
        <w:ind w:left="2176" w:hanging="576"/>
        <w:jc w:val="left"/>
      </w:pPr>
      <w:rPr>
        <w:rFonts w:hint="default" w:ascii="Times New Roman" w:hAnsi="Times New Roman" w:eastAsia="Times New Roman" w:cs="Times New Roman"/>
        <w:w w:val="100"/>
        <w:sz w:val="22"/>
        <w:szCs w:val="22"/>
        <w:lang w:val="en-us" w:eastAsia="en-us" w:bidi="en-us"/>
      </w:rPr>
    </w:lvl>
    <w:lvl w:ilvl="5">
      <w:start w:val="0"/>
      <w:numFmt w:val="bullet"/>
      <w:lvlText w:val="•"/>
      <w:lvlJc w:val="left"/>
      <w:pPr>
        <w:ind w:left="4977" w:hanging="576"/>
      </w:pPr>
      <w:rPr>
        <w:rFonts w:hint="default"/>
        <w:lang w:val="en-us" w:eastAsia="en-us" w:bidi="en-us"/>
      </w:rPr>
    </w:lvl>
    <w:lvl w:ilvl="6">
      <w:start w:val="0"/>
      <w:numFmt w:val="bullet"/>
      <w:lvlText w:val="•"/>
      <w:lvlJc w:val="left"/>
      <w:pPr>
        <w:ind w:left="5910" w:hanging="576"/>
      </w:pPr>
      <w:rPr>
        <w:rFonts w:hint="default"/>
        <w:lang w:val="en-us" w:eastAsia="en-us" w:bidi="en-us"/>
      </w:rPr>
    </w:lvl>
    <w:lvl w:ilvl="7">
      <w:start w:val="0"/>
      <w:numFmt w:val="bullet"/>
      <w:lvlText w:val="•"/>
      <w:lvlJc w:val="left"/>
      <w:pPr>
        <w:ind w:left="6842" w:hanging="576"/>
      </w:pPr>
      <w:rPr>
        <w:rFonts w:hint="default"/>
        <w:lang w:val="en-us" w:eastAsia="en-us" w:bidi="en-us"/>
      </w:rPr>
    </w:lvl>
    <w:lvl w:ilvl="8">
      <w:start w:val="0"/>
      <w:numFmt w:val="bullet"/>
      <w:lvlText w:val="•"/>
      <w:lvlJc w:val="left"/>
      <w:pPr>
        <w:ind w:left="7775" w:hanging="576"/>
      </w:pPr>
      <w:rPr>
        <w:rFonts w:hint="default"/>
        <w:lang w:val="en-us" w:eastAsia="en-us" w:bidi="en-us"/>
      </w:rPr>
    </w:lvl>
  </w:abstractNum>
  <w:num w:numId="4">
    <w:abstractNumId w:val="3"/>
  </w:num>
  <w:num w:numId="3">
    <w:abstractNumId w:val="2"/>
  </w:num>
  <w:num w:numId="2">
    <w:abstractNumId w:val="1"/>
  </w: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useFELayout/>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en-us"/>
    </w:rPr>
  </w:style>
  <w:style w:styleId="BodyText" w:type="paragraph">
    <w:name w:val="Body Text"/>
    <w:basedOn w:val="Normal"/>
    <w:uiPriority w:val="1"/>
    <w:qFormat/>
    <w:pPr>
      <w:ind w:hanging="576"/>
    </w:pPr>
    <w:rPr>
      <w:rFonts w:ascii="Times New Roman" w:hAnsi="Times New Roman" w:eastAsia="Times New Roman" w:cs="Times New Roman"/>
      <w:sz w:val="22"/>
      <w:szCs w:val="22"/>
      <w:lang w:val="en-us" w:eastAsia="en-us" w:bidi="en-us"/>
    </w:rPr>
  </w:style>
  <w:style w:styleId="ListParagraph" w:type="paragraph">
    <w:name w:val="List Paragraph"/>
    <w:basedOn w:val="Normal"/>
    <w:uiPriority w:val="1"/>
    <w:qFormat/>
    <w:pPr>
      <w:ind w:left="1024" w:hanging="576"/>
    </w:pPr>
    <w:rPr>
      <w:rFonts w:ascii="Times New Roman" w:hAnsi="Times New Roman" w:eastAsia="Times New Roman" w:cs="Times New Roman"/>
      <w:lang w:val="en-us" w:eastAsia="en-us" w:bidi="en-us"/>
    </w:rPr>
  </w:style>
  <w:style w:styleId="TableParagraph" w:type="paragraph">
    <w:name w:val="Table Paragraph"/>
    <w:basedOn w:val="Normal"/>
    <w:uiPriority w:val="1"/>
    <w:qFormat/>
    <w:pPr>
      <w:spacing w:before="115"/>
    </w:pPr>
    <w:rPr>
      <w:rFonts w:ascii="Times New Roman" w:hAnsi="Times New Roman" w:eastAsia="Times New Roman" w:cs="Times New Roman"/>
      <w:lang w:val="en-us" w:eastAsia="en-us" w:bidi="en-us"/>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numbering" Target="numbering.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ARCOM, Inc.</dc:creator>
  <cp:keywords>BAS-12345-MS80</cp:keywords>
  <dc:subject>JOINT SEALANTS</dc:subject>
  <dc:title>SECTION 079200 - JOINT SEALANTS</dc:title>
  <dcterms:created xsi:type="dcterms:W3CDTF">2018-10-23T20:23:15Z</dcterms:created>
  <dcterms:modified xsi:type="dcterms:W3CDTF">2018-10-23T20:23:15Z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2014-04-21T00:00:00Z</vt:filetime>
  </property>
  <property fmtid="{D5CDD505-2E9C-101B-9397-08002B2CF9AE}" pid="3" name="Creator">
    <vt:lpwstr>Microsoft® Word 2013</vt:lpwstr>
  </property>
  <property fmtid="{D5CDD505-2E9C-101B-9397-08002B2CF9AE}" pid="4" name="LastSaved">
    <vt:filetime>2018-10-23T00:00:00Z</vt:filetime>
  </property>
</Properties>
</file>